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AC" w:rsidRPr="00C62311" w:rsidRDefault="003E18F3" w:rsidP="001613AC">
      <w:pPr>
        <w:spacing w:before="120" w:after="120" w:line="288" w:lineRule="auto"/>
        <w:ind w:left="720" w:right="647"/>
        <w:jc w:val="center"/>
        <w:rPr>
          <w:b/>
          <w:caps/>
          <w:lang w:val="en-US"/>
        </w:rPr>
      </w:pPr>
      <w:bookmarkStart w:id="0" w:name="_GoBack"/>
      <w:bookmarkEnd w:id="0"/>
      <w:r w:rsidRPr="00C62311">
        <w:rPr>
          <w:b/>
          <w:caps/>
        </w:rPr>
        <w:t xml:space="preserve">ДОКЛАД </w:t>
      </w:r>
      <w:r w:rsidR="001613AC" w:rsidRPr="00C62311">
        <w:rPr>
          <w:b/>
          <w:caps/>
        </w:rPr>
        <w:t xml:space="preserve">За дейността </w:t>
      </w:r>
    </w:p>
    <w:p w:rsidR="001613AC" w:rsidRPr="00C62311" w:rsidRDefault="001613AC" w:rsidP="001613AC">
      <w:pPr>
        <w:spacing w:before="120" w:after="120" w:line="288" w:lineRule="auto"/>
        <w:ind w:left="720" w:right="647"/>
        <w:jc w:val="center"/>
        <w:rPr>
          <w:b/>
        </w:rPr>
      </w:pPr>
      <w:r w:rsidRPr="00C62311">
        <w:rPr>
          <w:b/>
        </w:rPr>
        <w:t xml:space="preserve">на СБАГАЛ “Проф. Д-р Димитър Стаматов – Варна” ЕООД, </w:t>
      </w:r>
    </w:p>
    <w:p w:rsidR="001613AC" w:rsidRPr="00C62311" w:rsidRDefault="00801FE1" w:rsidP="001613AC">
      <w:pPr>
        <w:spacing w:before="120" w:after="120" w:line="288" w:lineRule="auto"/>
        <w:ind w:left="720" w:right="647"/>
        <w:jc w:val="center"/>
        <w:rPr>
          <w:b/>
        </w:rPr>
      </w:pPr>
      <w:r w:rsidRPr="00C62311">
        <w:rPr>
          <w:b/>
        </w:rPr>
        <w:t>за</w:t>
      </w:r>
      <w:r w:rsidR="003E18F3" w:rsidRPr="00C62311">
        <w:rPr>
          <w:b/>
        </w:rPr>
        <w:t xml:space="preserve"> 2016</w:t>
      </w:r>
      <w:r w:rsidR="001613AC" w:rsidRPr="00C62311">
        <w:rPr>
          <w:b/>
        </w:rPr>
        <w:t xml:space="preserve"> г.</w:t>
      </w:r>
    </w:p>
    <w:p w:rsidR="00801FE1" w:rsidRPr="00C62311" w:rsidRDefault="00801FE1" w:rsidP="001613AC">
      <w:pPr>
        <w:spacing w:before="120" w:after="120" w:line="288" w:lineRule="auto"/>
        <w:ind w:left="720" w:right="647"/>
        <w:jc w:val="center"/>
        <w:rPr>
          <w:b/>
        </w:rPr>
      </w:pPr>
    </w:p>
    <w:p w:rsidR="00801FE1" w:rsidRPr="00C62311" w:rsidRDefault="00801FE1" w:rsidP="00801FE1">
      <w:pPr>
        <w:spacing w:before="120" w:after="120"/>
        <w:ind w:firstLine="709"/>
        <w:jc w:val="both"/>
      </w:pPr>
      <w:r w:rsidRPr="00C62311">
        <w:t>Настоящият годишен доклад е изготвен в съответствие с изискванията на чл. 39 на Закона за счетоводството, чл. 100н, ал. 7 и 8 от ЗППЦК и Приложение № 10 към Наредба № 2 от 17.09.2003</w:t>
      </w:r>
      <w:r w:rsidR="001C7F69">
        <w:t xml:space="preserve"> </w:t>
      </w:r>
      <w:r w:rsidRPr="00C62311">
        <w:t>г. за проспектите при публично предлагане и допускане до търговия на регулиран пазар на ценни книжа и за разкриването на информация.</w:t>
      </w:r>
    </w:p>
    <w:p w:rsidR="001613AC" w:rsidRPr="00C62311" w:rsidRDefault="001613AC" w:rsidP="001613AC">
      <w:pPr>
        <w:spacing w:before="120" w:after="120"/>
        <w:ind w:firstLine="709"/>
        <w:jc w:val="both"/>
      </w:pPr>
      <w:r w:rsidRPr="00C62311">
        <w:t>СБАГАЛ “Проф. Д-р Димитър Стаматов – Варна” ЕООД е регистрирано с решение № 483 на Варненски окръжен съд от 22.02.2001 г. по ф.д. 483/2001 г., и е вписано в Търговския регистър, т. 217, стр. 50, парт. №11.</w:t>
      </w:r>
    </w:p>
    <w:p w:rsidR="001613AC" w:rsidRPr="00C62311" w:rsidRDefault="001613AC" w:rsidP="001613AC">
      <w:pPr>
        <w:spacing w:before="120" w:after="120"/>
        <w:ind w:firstLine="709"/>
        <w:jc w:val="both"/>
      </w:pPr>
      <w:r w:rsidRPr="00C62311">
        <w:t>СБАГАЛ “Проф. Д-р Димитър Стаматов – Варна” ЕООД е регистрирано като еднолично търговско дружество с ограничена отговорност с основен капитал 295 хил. лева, 100</w:t>
      </w:r>
      <w:r w:rsidRPr="00C62311">
        <w:rPr>
          <w:lang w:val="en-US"/>
        </w:rPr>
        <w:t xml:space="preserve"> </w:t>
      </w:r>
      <w:r w:rsidRPr="00C62311">
        <w:t>% собственост на Община Варна.</w:t>
      </w:r>
    </w:p>
    <w:p w:rsidR="00CD7E01" w:rsidRPr="00C62311" w:rsidRDefault="00801FE1" w:rsidP="00CD7E01">
      <w:pPr>
        <w:spacing w:before="120" w:after="120"/>
        <w:ind w:firstLine="709"/>
        <w:jc w:val="both"/>
        <w:rPr>
          <w:lang w:val="en-US"/>
        </w:rPr>
      </w:pPr>
      <w:r w:rsidRPr="00C62311">
        <w:rPr>
          <w:b/>
          <w:bCs/>
        </w:rPr>
        <w:t>Предметът</w:t>
      </w:r>
      <w:r w:rsidR="00CD7E01" w:rsidRPr="00C62311">
        <w:rPr>
          <w:b/>
          <w:bCs/>
        </w:rPr>
        <w:t xml:space="preserve"> на дейност на Дружеството е</w:t>
      </w:r>
      <w:r w:rsidR="00CD7E01" w:rsidRPr="00C62311">
        <w:rPr>
          <w:lang w:val="en-US"/>
        </w:rPr>
        <w:t xml:space="preserve">: </w:t>
      </w:r>
      <w:r w:rsidR="00CD7E01" w:rsidRPr="00C62311">
        <w:t>диагностика и лечение на заболявания, когато лечебната цел не може да се постигне в условията на извънболнична помощ; родилна помощ; диагностика и консултации, поискани от лекар или лекар по дентална медицина от други лечебни заведения; клинични изпитвания на лекарствени продукти и медицински изделия, съгласно действащото в страната законодателство; учебна и научна дейност. По следните медицински специалности: акушерство и гинекология;  анестезиология и интензивно лечение; неонатология; клинична лаборатория; микробиология; образна диагностика; обща и клинична патология.</w:t>
      </w:r>
    </w:p>
    <w:p w:rsidR="006C376F" w:rsidRPr="00C62311" w:rsidRDefault="006C376F" w:rsidP="00801FE1">
      <w:pPr>
        <w:ind w:firstLine="709"/>
        <w:contextualSpacing/>
        <w:jc w:val="both"/>
        <w:rPr>
          <w:b/>
          <w:bCs/>
        </w:rPr>
      </w:pPr>
      <w:r w:rsidRPr="00C62311">
        <w:rPr>
          <w:b/>
          <w:bCs/>
        </w:rPr>
        <w:t>Органи на управлението на дружеството са:</w:t>
      </w:r>
    </w:p>
    <w:p w:rsidR="00854A3B" w:rsidRPr="00C62311" w:rsidRDefault="006C376F" w:rsidP="00854A3B">
      <w:pPr>
        <w:ind w:firstLine="720"/>
        <w:contextualSpacing/>
        <w:jc w:val="both"/>
        <w:rPr>
          <w:b/>
          <w:bCs/>
          <w:i/>
          <w:iCs/>
          <w:lang w:val="en-US"/>
        </w:rPr>
      </w:pPr>
      <w:r w:rsidRPr="00C62311">
        <w:rPr>
          <w:b/>
          <w:bCs/>
          <w:i/>
          <w:iCs/>
        </w:rPr>
        <w:t>Едн</w:t>
      </w:r>
      <w:r w:rsidR="00854A3B" w:rsidRPr="00C62311">
        <w:rPr>
          <w:b/>
          <w:bCs/>
          <w:i/>
          <w:iCs/>
        </w:rPr>
        <w:t>оличният собственик на капитала</w:t>
      </w:r>
      <w:r w:rsidR="00854A3B" w:rsidRPr="00C62311">
        <w:rPr>
          <w:b/>
          <w:bCs/>
          <w:i/>
          <w:iCs/>
          <w:lang w:val="en-US"/>
        </w:rPr>
        <w:t>:</w:t>
      </w:r>
    </w:p>
    <w:p w:rsidR="006C376F" w:rsidRDefault="006C376F" w:rsidP="0030763E">
      <w:pPr>
        <w:ind w:firstLine="567"/>
        <w:contextualSpacing/>
        <w:jc w:val="both"/>
      </w:pPr>
      <w:r w:rsidRPr="00C62311">
        <w:t>Община Варна, чрез Общински съвет – Варна, който упражнява правата на Общината, като решава въпросите от компетентността на общото събрание.</w:t>
      </w:r>
    </w:p>
    <w:p w:rsidR="0030763E" w:rsidRPr="0030763E" w:rsidRDefault="0030763E" w:rsidP="0030763E">
      <w:pPr>
        <w:ind w:firstLine="567"/>
        <w:jc w:val="both"/>
      </w:pPr>
      <w:r w:rsidRPr="0030763E">
        <w:t xml:space="preserve">На основание чл.21, ал.1, т.9 от ЗМСМА, чл.144, ал.3 от Търговския закон и чл.22 ал.2 във връзка с чл.4, ал.1, т.1 и чл.8, ал.1, т.5 от Наредбата за реда за упражняване правата на собственост върху частта на Община Варна от капитала на търговските дружества, работата на Дружеството се наблюдава и контролира от един общински контрольор, назначен от кмета на Община Варна с договор за възлагане на контрол. Към 31.12.2016 г. контрольор на дружеството е проф. Стефан Тодоров.  </w:t>
      </w:r>
    </w:p>
    <w:p w:rsidR="00854A3B" w:rsidRPr="00C62311" w:rsidRDefault="00854A3B" w:rsidP="006C376F">
      <w:pPr>
        <w:contextualSpacing/>
        <w:jc w:val="both"/>
        <w:rPr>
          <w:b/>
          <w:bCs/>
          <w:i/>
          <w:iCs/>
        </w:rPr>
      </w:pPr>
      <w:r w:rsidRPr="00C62311">
        <w:tab/>
      </w:r>
      <w:r w:rsidRPr="00C62311">
        <w:rPr>
          <w:b/>
          <w:bCs/>
          <w:i/>
          <w:iCs/>
        </w:rPr>
        <w:t>Управител:</w:t>
      </w:r>
    </w:p>
    <w:p w:rsidR="00854A3B" w:rsidRPr="00C62311" w:rsidRDefault="00854A3B" w:rsidP="00854A3B">
      <w:pPr>
        <w:ind w:firstLine="720"/>
        <w:contextualSpacing/>
        <w:jc w:val="both"/>
      </w:pPr>
      <w:r w:rsidRPr="00C62311">
        <w:t>През 2016 год. с решение на Общински съвет – Варна  е сменен управителят на дружеството. До 05.02.2016 год. представляващ и управляващ е д-р Радослав Минков. След 05.02.2016 год. и до момента представляващ и управляващ доц. Д-р Емил Ковачев.</w:t>
      </w:r>
    </w:p>
    <w:p w:rsidR="00854A3B" w:rsidRPr="00C62311" w:rsidRDefault="00CD7E01" w:rsidP="00B8611C">
      <w:pPr>
        <w:spacing w:before="120" w:after="120"/>
        <w:jc w:val="both"/>
        <w:rPr>
          <w:b/>
          <w:bCs/>
        </w:rPr>
      </w:pPr>
      <w:r w:rsidRPr="00C62311">
        <w:tab/>
      </w:r>
      <w:r w:rsidRPr="00C62311">
        <w:rPr>
          <w:b/>
          <w:bCs/>
        </w:rPr>
        <w:t>Свързани лица:</w:t>
      </w:r>
    </w:p>
    <w:p w:rsidR="00CD7E01" w:rsidRPr="00C62311" w:rsidRDefault="00CD7E01" w:rsidP="00801FE1">
      <w:pPr>
        <w:spacing w:before="120" w:after="120"/>
        <w:ind w:firstLine="720"/>
        <w:jc w:val="both"/>
      </w:pPr>
      <w:r w:rsidRPr="00C62311">
        <w:t>Община Варна – едноличен собственик на капитала</w:t>
      </w:r>
    </w:p>
    <w:p w:rsidR="00CD7E01" w:rsidRPr="00C62311" w:rsidRDefault="00CD7E01" w:rsidP="00801FE1">
      <w:pPr>
        <w:spacing w:before="120" w:after="120"/>
        <w:ind w:firstLine="720"/>
        <w:jc w:val="both"/>
      </w:pPr>
      <w:r w:rsidRPr="00C62311">
        <w:t>Амбулатория медицински център за доболнична помощ ЕООД – дъщерно дружество</w:t>
      </w:r>
    </w:p>
    <w:p w:rsidR="00CD7E01" w:rsidRPr="00C62311" w:rsidRDefault="00CD7E01" w:rsidP="00B8611C">
      <w:pPr>
        <w:spacing w:before="120" w:after="120"/>
        <w:jc w:val="both"/>
      </w:pPr>
      <w:r w:rsidRPr="00C62311">
        <w:tab/>
        <w:t>Дружеството няма регистрирани клонове.</w:t>
      </w:r>
    </w:p>
    <w:p w:rsidR="00854A3B" w:rsidRPr="00EE757A" w:rsidRDefault="00801FE1" w:rsidP="00EE757A">
      <w:pPr>
        <w:pStyle w:val="ListParagraph"/>
        <w:numPr>
          <w:ilvl w:val="0"/>
          <w:numId w:val="8"/>
        </w:numPr>
        <w:spacing w:before="120" w:after="120"/>
        <w:ind w:left="0" w:firstLine="720"/>
        <w:jc w:val="both"/>
        <w:rPr>
          <w:b/>
          <w:bCs/>
        </w:rPr>
      </w:pPr>
      <w:r w:rsidRPr="00EE757A">
        <w:rPr>
          <w:b/>
          <w:bCs/>
        </w:rPr>
        <w:lastRenderedPageBreak/>
        <w:t>Характеристика на дейността:</w:t>
      </w:r>
    </w:p>
    <w:p w:rsidR="00801FE1" w:rsidRPr="00C62311" w:rsidRDefault="00801FE1" w:rsidP="00801FE1">
      <w:pPr>
        <w:spacing w:before="120" w:after="120"/>
        <w:jc w:val="both"/>
        <w:rPr>
          <w:b/>
          <w:bCs/>
          <w:i/>
          <w:iCs/>
        </w:rPr>
      </w:pPr>
      <w:r w:rsidRPr="00C62311">
        <w:rPr>
          <w:b/>
          <w:bCs/>
        </w:rPr>
        <w:tab/>
      </w:r>
      <w:r w:rsidRPr="00C62311">
        <w:rPr>
          <w:b/>
          <w:bCs/>
          <w:i/>
          <w:iCs/>
        </w:rPr>
        <w:t>Реализирани приходи по видове дейности за 2016 год. спрямо 2015 год.</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
        <w:gridCol w:w="2564"/>
        <w:gridCol w:w="1559"/>
        <w:gridCol w:w="1560"/>
        <w:gridCol w:w="1559"/>
        <w:gridCol w:w="1843"/>
      </w:tblGrid>
      <w:tr w:rsidR="00801FE1" w:rsidRPr="00C62311" w:rsidTr="0071675D">
        <w:tc>
          <w:tcPr>
            <w:tcW w:w="521"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jc w:val="center"/>
            </w:pPr>
            <w:r w:rsidRPr="00C62311">
              <w:t>№</w:t>
            </w:r>
          </w:p>
        </w:tc>
        <w:tc>
          <w:tcPr>
            <w:tcW w:w="2564"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jc w:val="center"/>
            </w:pPr>
            <w:r w:rsidRPr="00C62311">
              <w:t>Наименование</w:t>
            </w:r>
          </w:p>
        </w:tc>
        <w:tc>
          <w:tcPr>
            <w:tcW w:w="1559" w:type="dxa"/>
            <w:tcBorders>
              <w:top w:val="single" w:sz="6" w:space="0" w:color="auto"/>
              <w:left w:val="single" w:sz="6" w:space="0" w:color="auto"/>
              <w:bottom w:val="single" w:sz="6" w:space="0" w:color="auto"/>
              <w:right w:val="single" w:sz="6" w:space="0" w:color="auto"/>
            </w:tcBorders>
          </w:tcPr>
          <w:p w:rsidR="00801FE1" w:rsidRPr="00C62311" w:rsidRDefault="00E76F75" w:rsidP="0071675D">
            <w:pPr>
              <w:spacing w:line="288" w:lineRule="auto"/>
              <w:jc w:val="center"/>
              <w:rPr>
                <w:lang w:val="en-US"/>
              </w:rPr>
            </w:pPr>
            <w:r w:rsidRPr="00C62311">
              <w:t>2016 год.</w:t>
            </w:r>
          </w:p>
        </w:tc>
        <w:tc>
          <w:tcPr>
            <w:tcW w:w="1560" w:type="dxa"/>
            <w:tcBorders>
              <w:top w:val="single" w:sz="6" w:space="0" w:color="auto"/>
              <w:left w:val="single" w:sz="6" w:space="0" w:color="auto"/>
              <w:bottom w:val="single" w:sz="6" w:space="0" w:color="auto"/>
              <w:right w:val="single" w:sz="6" w:space="0" w:color="auto"/>
            </w:tcBorders>
          </w:tcPr>
          <w:p w:rsidR="00801FE1" w:rsidRPr="00C62311" w:rsidRDefault="00E76F75" w:rsidP="0071675D">
            <w:pPr>
              <w:spacing w:line="288" w:lineRule="auto"/>
              <w:jc w:val="center"/>
              <w:rPr>
                <w:lang w:val="en-US"/>
              </w:rPr>
            </w:pPr>
            <w:r w:rsidRPr="00C62311">
              <w:t>2015 год.</w:t>
            </w:r>
          </w:p>
        </w:tc>
        <w:tc>
          <w:tcPr>
            <w:tcW w:w="1559"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jc w:val="center"/>
            </w:pPr>
            <w:r w:rsidRPr="00C62311">
              <w:t>Изменение сума</w:t>
            </w:r>
          </w:p>
        </w:tc>
        <w:tc>
          <w:tcPr>
            <w:tcW w:w="1843"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jc w:val="center"/>
            </w:pPr>
            <w:r w:rsidRPr="00C62311">
              <w:t>Относително изменение</w:t>
            </w:r>
          </w:p>
          <w:p w:rsidR="00801FE1" w:rsidRPr="00C62311" w:rsidRDefault="00801FE1" w:rsidP="0071675D">
            <w:pPr>
              <w:spacing w:line="288" w:lineRule="auto"/>
              <w:jc w:val="center"/>
              <w:rPr>
                <w:lang w:val="en-US"/>
              </w:rPr>
            </w:pPr>
            <w:r w:rsidRPr="00C62311">
              <w:rPr>
                <w:lang w:val="en-US"/>
              </w:rPr>
              <w:t>3</w:t>
            </w:r>
            <w:r w:rsidRPr="00C62311">
              <w:t>:</w:t>
            </w:r>
            <w:r w:rsidRPr="00C62311">
              <w:rPr>
                <w:lang w:val="en-US"/>
              </w:rPr>
              <w:t>4</w:t>
            </w:r>
          </w:p>
        </w:tc>
      </w:tr>
      <w:tr w:rsidR="00801FE1" w:rsidRPr="00C62311" w:rsidTr="0071675D">
        <w:tc>
          <w:tcPr>
            <w:tcW w:w="521"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jc w:val="center"/>
            </w:pPr>
            <w:r w:rsidRPr="00C62311">
              <w:t>1</w:t>
            </w:r>
          </w:p>
        </w:tc>
        <w:tc>
          <w:tcPr>
            <w:tcW w:w="2564"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jc w:val="center"/>
            </w:pPr>
            <w:r w:rsidRPr="00C62311">
              <w:t>2</w:t>
            </w:r>
          </w:p>
        </w:tc>
        <w:tc>
          <w:tcPr>
            <w:tcW w:w="1559"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jc w:val="center"/>
            </w:pPr>
            <w:r w:rsidRPr="00C62311">
              <w:t>3</w:t>
            </w:r>
          </w:p>
        </w:tc>
        <w:tc>
          <w:tcPr>
            <w:tcW w:w="1560"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jc w:val="center"/>
            </w:pPr>
            <w:r w:rsidRPr="00C62311">
              <w:t>4</w:t>
            </w:r>
          </w:p>
        </w:tc>
        <w:tc>
          <w:tcPr>
            <w:tcW w:w="1559"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jc w:val="center"/>
            </w:pPr>
            <w:r w:rsidRPr="00C62311">
              <w:t>5</w:t>
            </w:r>
          </w:p>
        </w:tc>
        <w:tc>
          <w:tcPr>
            <w:tcW w:w="1843"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jc w:val="center"/>
            </w:pPr>
            <w:r w:rsidRPr="00C62311">
              <w:t>6</w:t>
            </w:r>
          </w:p>
        </w:tc>
      </w:tr>
      <w:tr w:rsidR="00801FE1" w:rsidRPr="00C62311" w:rsidTr="0071675D">
        <w:tc>
          <w:tcPr>
            <w:tcW w:w="521"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jc w:val="right"/>
            </w:pPr>
            <w:r w:rsidRPr="00C62311">
              <w:t>1.</w:t>
            </w:r>
          </w:p>
        </w:tc>
        <w:tc>
          <w:tcPr>
            <w:tcW w:w="2564"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pPr>
            <w:r w:rsidRPr="00C62311">
              <w:t>Приходи РЗОК</w:t>
            </w:r>
          </w:p>
        </w:tc>
        <w:tc>
          <w:tcPr>
            <w:tcW w:w="1559" w:type="dxa"/>
            <w:tcBorders>
              <w:top w:val="single" w:sz="6" w:space="0" w:color="auto"/>
              <w:left w:val="single" w:sz="6" w:space="0" w:color="auto"/>
              <w:bottom w:val="single" w:sz="6" w:space="0" w:color="auto"/>
              <w:right w:val="single" w:sz="6" w:space="0" w:color="auto"/>
            </w:tcBorders>
          </w:tcPr>
          <w:p w:rsidR="00801FE1" w:rsidRPr="006C47DB" w:rsidRDefault="006C47DB" w:rsidP="0071675D">
            <w:pPr>
              <w:spacing w:line="288" w:lineRule="auto"/>
              <w:jc w:val="right"/>
              <w:rPr>
                <w:lang w:val="en-US"/>
              </w:rPr>
            </w:pPr>
            <w:r>
              <w:rPr>
                <w:lang w:val="en-US"/>
              </w:rPr>
              <w:t>3 333</w:t>
            </w:r>
          </w:p>
        </w:tc>
        <w:tc>
          <w:tcPr>
            <w:tcW w:w="1560" w:type="dxa"/>
            <w:tcBorders>
              <w:top w:val="single" w:sz="6" w:space="0" w:color="auto"/>
              <w:left w:val="single" w:sz="6" w:space="0" w:color="auto"/>
              <w:bottom w:val="single" w:sz="6" w:space="0" w:color="auto"/>
              <w:right w:val="single" w:sz="6" w:space="0" w:color="auto"/>
            </w:tcBorders>
          </w:tcPr>
          <w:p w:rsidR="00801FE1" w:rsidRPr="00605AFA" w:rsidRDefault="00CF0603" w:rsidP="0071675D">
            <w:pPr>
              <w:spacing w:line="288" w:lineRule="auto"/>
              <w:jc w:val="right"/>
            </w:pPr>
            <w:r w:rsidRPr="00605AFA">
              <w:t>3</w:t>
            </w:r>
            <w:r w:rsidRPr="00605AFA">
              <w:rPr>
                <w:lang w:val="en-US"/>
              </w:rPr>
              <w:t xml:space="preserve"> </w:t>
            </w:r>
            <w:r w:rsidRPr="00605AFA">
              <w:t>300</w:t>
            </w:r>
          </w:p>
        </w:tc>
        <w:tc>
          <w:tcPr>
            <w:tcW w:w="1559" w:type="dxa"/>
            <w:tcBorders>
              <w:top w:val="single" w:sz="6" w:space="0" w:color="auto"/>
              <w:left w:val="single" w:sz="6" w:space="0" w:color="auto"/>
              <w:bottom w:val="single" w:sz="6" w:space="0" w:color="auto"/>
              <w:right w:val="single" w:sz="6" w:space="0" w:color="auto"/>
            </w:tcBorders>
          </w:tcPr>
          <w:p w:rsidR="00801FE1" w:rsidRPr="00605AFA" w:rsidRDefault="00CF0603" w:rsidP="0071675D">
            <w:pPr>
              <w:spacing w:line="288" w:lineRule="auto"/>
              <w:jc w:val="right"/>
              <w:rPr>
                <w:lang w:val="en-US"/>
              </w:rPr>
            </w:pPr>
            <w:r w:rsidRPr="00605AFA">
              <w:rPr>
                <w:lang w:val="en-US"/>
              </w:rPr>
              <w:t>33</w:t>
            </w:r>
          </w:p>
        </w:tc>
        <w:tc>
          <w:tcPr>
            <w:tcW w:w="1843" w:type="dxa"/>
            <w:tcBorders>
              <w:top w:val="single" w:sz="6" w:space="0" w:color="auto"/>
              <w:left w:val="single" w:sz="6" w:space="0" w:color="auto"/>
              <w:bottom w:val="single" w:sz="6" w:space="0" w:color="auto"/>
              <w:right w:val="single" w:sz="6" w:space="0" w:color="auto"/>
            </w:tcBorders>
          </w:tcPr>
          <w:p w:rsidR="00801FE1" w:rsidRPr="00605AFA" w:rsidRDefault="00CF0603" w:rsidP="0071675D">
            <w:pPr>
              <w:spacing w:line="288" w:lineRule="auto"/>
              <w:jc w:val="right"/>
              <w:rPr>
                <w:lang w:val="en-US"/>
              </w:rPr>
            </w:pPr>
            <w:r w:rsidRPr="00605AFA">
              <w:rPr>
                <w:lang w:val="en-US"/>
              </w:rPr>
              <w:t>1.01</w:t>
            </w:r>
          </w:p>
        </w:tc>
      </w:tr>
      <w:tr w:rsidR="00801FE1" w:rsidRPr="00C62311" w:rsidTr="0071675D">
        <w:tc>
          <w:tcPr>
            <w:tcW w:w="521"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jc w:val="right"/>
            </w:pPr>
            <w:r w:rsidRPr="00C62311">
              <w:t>2.</w:t>
            </w:r>
          </w:p>
        </w:tc>
        <w:tc>
          <w:tcPr>
            <w:tcW w:w="2564" w:type="dxa"/>
            <w:tcBorders>
              <w:top w:val="single" w:sz="6" w:space="0" w:color="auto"/>
              <w:left w:val="single" w:sz="6" w:space="0" w:color="auto"/>
              <w:bottom w:val="single" w:sz="6" w:space="0" w:color="auto"/>
              <w:right w:val="single" w:sz="6" w:space="0" w:color="auto"/>
            </w:tcBorders>
          </w:tcPr>
          <w:p w:rsidR="00801FE1" w:rsidRPr="00C62311" w:rsidRDefault="00801FE1" w:rsidP="00CC3FEC">
            <w:pPr>
              <w:spacing w:line="288" w:lineRule="auto"/>
            </w:pPr>
            <w:r w:rsidRPr="00C62311">
              <w:t xml:space="preserve">Приходи от медицински услуги </w:t>
            </w:r>
          </w:p>
        </w:tc>
        <w:tc>
          <w:tcPr>
            <w:tcW w:w="1559" w:type="dxa"/>
            <w:tcBorders>
              <w:top w:val="single" w:sz="6" w:space="0" w:color="auto"/>
              <w:left w:val="single" w:sz="6" w:space="0" w:color="auto"/>
              <w:bottom w:val="single" w:sz="6" w:space="0" w:color="auto"/>
              <w:right w:val="single" w:sz="6" w:space="0" w:color="auto"/>
            </w:tcBorders>
          </w:tcPr>
          <w:p w:rsidR="00801FE1" w:rsidRPr="006C47DB" w:rsidRDefault="006C47DB" w:rsidP="006C47DB">
            <w:pPr>
              <w:spacing w:line="288" w:lineRule="auto"/>
              <w:jc w:val="right"/>
              <w:rPr>
                <w:lang w:val="en-US"/>
              </w:rPr>
            </w:pPr>
            <w:r>
              <w:rPr>
                <w:lang w:val="en-US"/>
              </w:rPr>
              <w:t>1 333</w:t>
            </w:r>
          </w:p>
        </w:tc>
        <w:tc>
          <w:tcPr>
            <w:tcW w:w="1560" w:type="dxa"/>
            <w:tcBorders>
              <w:top w:val="single" w:sz="6" w:space="0" w:color="auto"/>
              <w:left w:val="single" w:sz="6" w:space="0" w:color="auto"/>
              <w:bottom w:val="single" w:sz="6" w:space="0" w:color="auto"/>
              <w:right w:val="single" w:sz="6" w:space="0" w:color="auto"/>
            </w:tcBorders>
          </w:tcPr>
          <w:p w:rsidR="00801FE1" w:rsidRPr="00FD06F7" w:rsidRDefault="00CF0603" w:rsidP="00FD06F7">
            <w:pPr>
              <w:spacing w:line="288" w:lineRule="auto"/>
              <w:jc w:val="right"/>
              <w:rPr>
                <w:lang w:val="en-US"/>
              </w:rPr>
            </w:pPr>
            <w:r w:rsidRPr="00605AFA">
              <w:t>1</w:t>
            </w:r>
            <w:r w:rsidRPr="00605AFA">
              <w:rPr>
                <w:lang w:val="en-US"/>
              </w:rPr>
              <w:t xml:space="preserve"> </w:t>
            </w:r>
            <w:r w:rsidR="0030763E" w:rsidRPr="00605AFA">
              <w:t>25</w:t>
            </w:r>
            <w:r w:rsidR="00FD06F7">
              <w:rPr>
                <w:lang w:val="en-US"/>
              </w:rPr>
              <w:t>8</w:t>
            </w:r>
          </w:p>
        </w:tc>
        <w:tc>
          <w:tcPr>
            <w:tcW w:w="1559" w:type="dxa"/>
            <w:tcBorders>
              <w:top w:val="single" w:sz="6" w:space="0" w:color="auto"/>
              <w:left w:val="single" w:sz="6" w:space="0" w:color="auto"/>
              <w:bottom w:val="single" w:sz="6" w:space="0" w:color="auto"/>
              <w:right w:val="single" w:sz="6" w:space="0" w:color="auto"/>
            </w:tcBorders>
          </w:tcPr>
          <w:p w:rsidR="00801FE1" w:rsidRPr="00605AFA" w:rsidRDefault="00D5647C" w:rsidP="0071675D">
            <w:pPr>
              <w:spacing w:line="288" w:lineRule="auto"/>
              <w:jc w:val="right"/>
              <w:rPr>
                <w:lang w:val="en-US"/>
              </w:rPr>
            </w:pPr>
            <w:r>
              <w:rPr>
                <w:lang w:val="en-US"/>
              </w:rPr>
              <w:t>75</w:t>
            </w:r>
          </w:p>
        </w:tc>
        <w:tc>
          <w:tcPr>
            <w:tcW w:w="1843" w:type="dxa"/>
            <w:tcBorders>
              <w:top w:val="single" w:sz="6" w:space="0" w:color="auto"/>
              <w:left w:val="single" w:sz="6" w:space="0" w:color="auto"/>
              <w:bottom w:val="single" w:sz="6" w:space="0" w:color="auto"/>
              <w:right w:val="single" w:sz="6" w:space="0" w:color="auto"/>
            </w:tcBorders>
          </w:tcPr>
          <w:p w:rsidR="00801FE1" w:rsidRPr="00605AFA" w:rsidRDefault="00CF0603" w:rsidP="00D5647C">
            <w:pPr>
              <w:spacing w:line="288" w:lineRule="auto"/>
              <w:jc w:val="right"/>
              <w:rPr>
                <w:lang w:val="en-US"/>
              </w:rPr>
            </w:pPr>
            <w:r w:rsidRPr="00605AFA">
              <w:rPr>
                <w:lang w:val="en-US"/>
              </w:rPr>
              <w:t>1.0</w:t>
            </w:r>
            <w:r w:rsidR="00D5647C">
              <w:rPr>
                <w:lang w:val="en-US"/>
              </w:rPr>
              <w:t>6</w:t>
            </w:r>
          </w:p>
        </w:tc>
      </w:tr>
      <w:tr w:rsidR="00801FE1" w:rsidRPr="00C62311" w:rsidTr="0071675D">
        <w:tc>
          <w:tcPr>
            <w:tcW w:w="521" w:type="dxa"/>
            <w:tcBorders>
              <w:top w:val="single" w:sz="6" w:space="0" w:color="auto"/>
              <w:left w:val="single" w:sz="6" w:space="0" w:color="auto"/>
              <w:bottom w:val="single" w:sz="6" w:space="0" w:color="auto"/>
              <w:right w:val="single" w:sz="6" w:space="0" w:color="auto"/>
            </w:tcBorders>
          </w:tcPr>
          <w:p w:rsidR="00801FE1" w:rsidRPr="00C62311" w:rsidRDefault="00CC3FEC" w:rsidP="0071675D">
            <w:pPr>
              <w:spacing w:line="288" w:lineRule="auto"/>
              <w:jc w:val="right"/>
            </w:pPr>
            <w:r w:rsidRPr="00C62311">
              <w:t>3.</w:t>
            </w:r>
          </w:p>
        </w:tc>
        <w:tc>
          <w:tcPr>
            <w:tcW w:w="2564"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pPr>
            <w:r w:rsidRPr="00C62311">
              <w:t xml:space="preserve">Приходи от финансиране  </w:t>
            </w:r>
          </w:p>
        </w:tc>
        <w:tc>
          <w:tcPr>
            <w:tcW w:w="1559" w:type="dxa"/>
            <w:tcBorders>
              <w:top w:val="single" w:sz="6" w:space="0" w:color="auto"/>
              <w:left w:val="single" w:sz="6" w:space="0" w:color="auto"/>
              <w:bottom w:val="single" w:sz="6" w:space="0" w:color="auto"/>
              <w:right w:val="single" w:sz="6" w:space="0" w:color="auto"/>
            </w:tcBorders>
          </w:tcPr>
          <w:p w:rsidR="00801FE1" w:rsidRPr="006C47DB" w:rsidRDefault="006C47DB" w:rsidP="0071675D">
            <w:pPr>
              <w:spacing w:line="288" w:lineRule="auto"/>
              <w:jc w:val="right"/>
              <w:rPr>
                <w:lang w:val="en-US"/>
              </w:rPr>
            </w:pPr>
            <w:r>
              <w:rPr>
                <w:lang w:val="en-US"/>
              </w:rPr>
              <w:t>113</w:t>
            </w:r>
          </w:p>
        </w:tc>
        <w:tc>
          <w:tcPr>
            <w:tcW w:w="1560" w:type="dxa"/>
            <w:tcBorders>
              <w:top w:val="single" w:sz="6" w:space="0" w:color="auto"/>
              <w:left w:val="single" w:sz="6" w:space="0" w:color="auto"/>
              <w:bottom w:val="single" w:sz="6" w:space="0" w:color="auto"/>
              <w:right w:val="single" w:sz="6" w:space="0" w:color="auto"/>
            </w:tcBorders>
          </w:tcPr>
          <w:p w:rsidR="00801FE1" w:rsidRPr="00605AFA" w:rsidRDefault="00CF0603" w:rsidP="0071675D">
            <w:pPr>
              <w:spacing w:line="288" w:lineRule="auto"/>
              <w:jc w:val="right"/>
              <w:rPr>
                <w:lang w:val="en-US"/>
              </w:rPr>
            </w:pPr>
            <w:r w:rsidRPr="00605AFA">
              <w:rPr>
                <w:lang w:val="en-US"/>
              </w:rPr>
              <w:t>113</w:t>
            </w:r>
          </w:p>
        </w:tc>
        <w:tc>
          <w:tcPr>
            <w:tcW w:w="1559" w:type="dxa"/>
            <w:tcBorders>
              <w:top w:val="single" w:sz="6" w:space="0" w:color="auto"/>
              <w:left w:val="single" w:sz="6" w:space="0" w:color="auto"/>
              <w:bottom w:val="single" w:sz="6" w:space="0" w:color="auto"/>
              <w:right w:val="single" w:sz="6" w:space="0" w:color="auto"/>
            </w:tcBorders>
          </w:tcPr>
          <w:p w:rsidR="00801FE1" w:rsidRPr="00605AFA" w:rsidRDefault="00CF0603" w:rsidP="0071675D">
            <w:pPr>
              <w:spacing w:line="288" w:lineRule="auto"/>
              <w:jc w:val="right"/>
              <w:rPr>
                <w:lang w:val="en-US"/>
              </w:rPr>
            </w:pPr>
            <w:r w:rsidRPr="00605AFA">
              <w:rPr>
                <w:lang w:val="en-US"/>
              </w:rPr>
              <w:t>0</w:t>
            </w:r>
          </w:p>
        </w:tc>
        <w:tc>
          <w:tcPr>
            <w:tcW w:w="1843" w:type="dxa"/>
            <w:tcBorders>
              <w:top w:val="single" w:sz="6" w:space="0" w:color="auto"/>
              <w:left w:val="single" w:sz="6" w:space="0" w:color="auto"/>
              <w:bottom w:val="single" w:sz="6" w:space="0" w:color="auto"/>
              <w:right w:val="single" w:sz="6" w:space="0" w:color="auto"/>
            </w:tcBorders>
          </w:tcPr>
          <w:p w:rsidR="00801FE1" w:rsidRPr="00605AFA" w:rsidRDefault="00CF0603" w:rsidP="0071675D">
            <w:pPr>
              <w:spacing w:line="288" w:lineRule="auto"/>
              <w:jc w:val="right"/>
              <w:rPr>
                <w:lang w:val="en-US"/>
              </w:rPr>
            </w:pPr>
            <w:r w:rsidRPr="00605AFA">
              <w:rPr>
                <w:lang w:val="en-US"/>
              </w:rPr>
              <w:t>1.00</w:t>
            </w:r>
          </w:p>
        </w:tc>
      </w:tr>
      <w:tr w:rsidR="00801FE1" w:rsidRPr="00C62311" w:rsidTr="0071675D">
        <w:tc>
          <w:tcPr>
            <w:tcW w:w="521" w:type="dxa"/>
            <w:tcBorders>
              <w:top w:val="single" w:sz="6" w:space="0" w:color="auto"/>
              <w:left w:val="single" w:sz="6" w:space="0" w:color="auto"/>
              <w:bottom w:val="single" w:sz="6" w:space="0" w:color="auto"/>
              <w:right w:val="single" w:sz="6" w:space="0" w:color="auto"/>
            </w:tcBorders>
          </w:tcPr>
          <w:p w:rsidR="00801FE1" w:rsidRPr="00C62311" w:rsidRDefault="00CC3FEC" w:rsidP="0071675D">
            <w:pPr>
              <w:spacing w:line="288" w:lineRule="auto"/>
              <w:jc w:val="right"/>
            </w:pPr>
            <w:r w:rsidRPr="00C62311">
              <w:t>4.</w:t>
            </w:r>
          </w:p>
        </w:tc>
        <w:tc>
          <w:tcPr>
            <w:tcW w:w="2564"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pPr>
            <w:r w:rsidRPr="00C62311">
              <w:t xml:space="preserve">Приходи от наеми и други </w:t>
            </w:r>
          </w:p>
        </w:tc>
        <w:tc>
          <w:tcPr>
            <w:tcW w:w="1559" w:type="dxa"/>
            <w:tcBorders>
              <w:top w:val="single" w:sz="6" w:space="0" w:color="auto"/>
              <w:left w:val="single" w:sz="6" w:space="0" w:color="auto"/>
              <w:bottom w:val="single" w:sz="6" w:space="0" w:color="auto"/>
              <w:right w:val="single" w:sz="6" w:space="0" w:color="auto"/>
            </w:tcBorders>
          </w:tcPr>
          <w:p w:rsidR="00801FE1" w:rsidRPr="006C47DB" w:rsidRDefault="006C47DB" w:rsidP="0071675D">
            <w:pPr>
              <w:spacing w:line="288" w:lineRule="auto"/>
              <w:jc w:val="right"/>
              <w:rPr>
                <w:lang w:val="en-US"/>
              </w:rPr>
            </w:pPr>
            <w:r>
              <w:rPr>
                <w:lang w:val="en-US"/>
              </w:rPr>
              <w:t>213</w:t>
            </w:r>
          </w:p>
        </w:tc>
        <w:tc>
          <w:tcPr>
            <w:tcW w:w="1560" w:type="dxa"/>
            <w:tcBorders>
              <w:top w:val="single" w:sz="6" w:space="0" w:color="auto"/>
              <w:left w:val="single" w:sz="6" w:space="0" w:color="auto"/>
              <w:bottom w:val="single" w:sz="6" w:space="0" w:color="auto"/>
              <w:right w:val="single" w:sz="6" w:space="0" w:color="auto"/>
            </w:tcBorders>
          </w:tcPr>
          <w:p w:rsidR="00801FE1" w:rsidRPr="00FD06F7" w:rsidRDefault="00FD06F7" w:rsidP="00605AFA">
            <w:pPr>
              <w:spacing w:line="288" w:lineRule="auto"/>
              <w:jc w:val="right"/>
              <w:rPr>
                <w:lang w:val="en-US"/>
              </w:rPr>
            </w:pPr>
            <w:r>
              <w:rPr>
                <w:lang w:val="en-US"/>
              </w:rPr>
              <w:t>155</w:t>
            </w:r>
          </w:p>
        </w:tc>
        <w:tc>
          <w:tcPr>
            <w:tcW w:w="1559" w:type="dxa"/>
            <w:tcBorders>
              <w:top w:val="single" w:sz="6" w:space="0" w:color="auto"/>
              <w:left w:val="single" w:sz="6" w:space="0" w:color="auto"/>
              <w:bottom w:val="single" w:sz="6" w:space="0" w:color="auto"/>
              <w:right w:val="single" w:sz="6" w:space="0" w:color="auto"/>
            </w:tcBorders>
          </w:tcPr>
          <w:p w:rsidR="00801FE1" w:rsidRPr="00446AA4" w:rsidRDefault="0030763E" w:rsidP="00605AFA">
            <w:pPr>
              <w:spacing w:line="288" w:lineRule="auto"/>
              <w:jc w:val="right"/>
              <w:rPr>
                <w:lang w:val="en-US"/>
              </w:rPr>
            </w:pPr>
            <w:r w:rsidRPr="00605AFA">
              <w:t>5</w:t>
            </w:r>
            <w:r w:rsidR="00446AA4">
              <w:rPr>
                <w:lang w:val="en-US"/>
              </w:rPr>
              <w:t>8</w:t>
            </w:r>
          </w:p>
        </w:tc>
        <w:tc>
          <w:tcPr>
            <w:tcW w:w="1843" w:type="dxa"/>
            <w:tcBorders>
              <w:top w:val="single" w:sz="6" w:space="0" w:color="auto"/>
              <w:left w:val="single" w:sz="6" w:space="0" w:color="auto"/>
              <w:bottom w:val="single" w:sz="6" w:space="0" w:color="auto"/>
              <w:right w:val="single" w:sz="6" w:space="0" w:color="auto"/>
            </w:tcBorders>
          </w:tcPr>
          <w:p w:rsidR="00801FE1" w:rsidRPr="00605AFA" w:rsidRDefault="00CF0603" w:rsidP="00446AA4">
            <w:pPr>
              <w:spacing w:line="288" w:lineRule="auto"/>
              <w:jc w:val="right"/>
              <w:rPr>
                <w:lang w:val="en-US"/>
              </w:rPr>
            </w:pPr>
            <w:r w:rsidRPr="00605AFA">
              <w:rPr>
                <w:lang w:val="en-US"/>
              </w:rPr>
              <w:t>1.</w:t>
            </w:r>
            <w:r w:rsidR="00446AA4">
              <w:rPr>
                <w:lang w:val="en-US"/>
              </w:rPr>
              <w:t>37</w:t>
            </w:r>
          </w:p>
        </w:tc>
      </w:tr>
      <w:tr w:rsidR="00801FE1" w:rsidRPr="00C62311" w:rsidTr="0071675D">
        <w:tc>
          <w:tcPr>
            <w:tcW w:w="521"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jc w:val="right"/>
            </w:pPr>
          </w:p>
        </w:tc>
        <w:tc>
          <w:tcPr>
            <w:tcW w:w="2564" w:type="dxa"/>
            <w:tcBorders>
              <w:top w:val="single" w:sz="6" w:space="0" w:color="auto"/>
              <w:left w:val="single" w:sz="6" w:space="0" w:color="auto"/>
              <w:bottom w:val="single" w:sz="6" w:space="0" w:color="auto"/>
              <w:right w:val="single" w:sz="6" w:space="0" w:color="auto"/>
            </w:tcBorders>
          </w:tcPr>
          <w:p w:rsidR="00801FE1" w:rsidRPr="00C62311" w:rsidRDefault="00801FE1" w:rsidP="0071675D">
            <w:pPr>
              <w:spacing w:line="288" w:lineRule="auto"/>
            </w:pPr>
            <w:r w:rsidRPr="00C62311">
              <w:t>Всичко приходи от дейността</w:t>
            </w:r>
          </w:p>
        </w:tc>
        <w:tc>
          <w:tcPr>
            <w:tcW w:w="1559" w:type="dxa"/>
            <w:tcBorders>
              <w:top w:val="single" w:sz="6" w:space="0" w:color="auto"/>
              <w:left w:val="single" w:sz="6" w:space="0" w:color="auto"/>
              <w:bottom w:val="single" w:sz="6" w:space="0" w:color="auto"/>
              <w:right w:val="single" w:sz="6" w:space="0" w:color="auto"/>
            </w:tcBorders>
          </w:tcPr>
          <w:p w:rsidR="00801FE1" w:rsidRPr="006C47DB" w:rsidRDefault="006C47DB" w:rsidP="0071675D">
            <w:pPr>
              <w:spacing w:line="288" w:lineRule="auto"/>
              <w:jc w:val="right"/>
              <w:rPr>
                <w:lang w:val="en-US"/>
              </w:rPr>
            </w:pPr>
            <w:r>
              <w:rPr>
                <w:lang w:val="en-US"/>
              </w:rPr>
              <w:t>4 992</w:t>
            </w:r>
          </w:p>
        </w:tc>
        <w:tc>
          <w:tcPr>
            <w:tcW w:w="1560" w:type="dxa"/>
            <w:tcBorders>
              <w:top w:val="single" w:sz="6" w:space="0" w:color="auto"/>
              <w:left w:val="single" w:sz="6" w:space="0" w:color="auto"/>
              <w:bottom w:val="single" w:sz="6" w:space="0" w:color="auto"/>
              <w:right w:val="single" w:sz="6" w:space="0" w:color="auto"/>
            </w:tcBorders>
          </w:tcPr>
          <w:p w:rsidR="00801FE1" w:rsidRPr="00605AFA" w:rsidRDefault="0030763E" w:rsidP="00FD06F7">
            <w:pPr>
              <w:spacing w:line="288" w:lineRule="auto"/>
              <w:jc w:val="right"/>
              <w:rPr>
                <w:lang w:val="en-US"/>
              </w:rPr>
            </w:pPr>
            <w:r w:rsidRPr="00605AFA">
              <w:t>4</w:t>
            </w:r>
            <w:r w:rsidR="00FD06F7">
              <w:rPr>
                <w:lang w:val="en-US"/>
              </w:rPr>
              <w:t>826</w:t>
            </w:r>
          </w:p>
        </w:tc>
        <w:tc>
          <w:tcPr>
            <w:tcW w:w="1559" w:type="dxa"/>
            <w:tcBorders>
              <w:top w:val="single" w:sz="6" w:space="0" w:color="auto"/>
              <w:left w:val="single" w:sz="6" w:space="0" w:color="auto"/>
              <w:bottom w:val="single" w:sz="6" w:space="0" w:color="auto"/>
              <w:right w:val="single" w:sz="6" w:space="0" w:color="auto"/>
            </w:tcBorders>
          </w:tcPr>
          <w:p w:rsidR="00801FE1" w:rsidRPr="00CF0603" w:rsidRDefault="00446AA4" w:rsidP="0030763E">
            <w:pPr>
              <w:spacing w:line="288" w:lineRule="auto"/>
              <w:jc w:val="right"/>
              <w:rPr>
                <w:lang w:val="en-US"/>
              </w:rPr>
            </w:pPr>
            <w:r>
              <w:rPr>
                <w:lang w:val="en-US"/>
              </w:rPr>
              <w:t>166</w:t>
            </w:r>
          </w:p>
        </w:tc>
        <w:tc>
          <w:tcPr>
            <w:tcW w:w="1843" w:type="dxa"/>
            <w:tcBorders>
              <w:top w:val="single" w:sz="6" w:space="0" w:color="auto"/>
              <w:left w:val="single" w:sz="6" w:space="0" w:color="auto"/>
              <w:bottom w:val="single" w:sz="6" w:space="0" w:color="auto"/>
              <w:right w:val="single" w:sz="6" w:space="0" w:color="auto"/>
            </w:tcBorders>
          </w:tcPr>
          <w:p w:rsidR="00801FE1" w:rsidRPr="00CF0603" w:rsidRDefault="00CF0603" w:rsidP="0071675D">
            <w:pPr>
              <w:spacing w:line="288" w:lineRule="auto"/>
              <w:jc w:val="right"/>
              <w:rPr>
                <w:lang w:val="en-US"/>
              </w:rPr>
            </w:pPr>
            <w:r>
              <w:rPr>
                <w:lang w:val="en-US"/>
              </w:rPr>
              <w:t>1.0</w:t>
            </w:r>
            <w:r w:rsidR="00446AA4">
              <w:rPr>
                <w:lang w:val="en-US"/>
              </w:rPr>
              <w:t>3</w:t>
            </w:r>
          </w:p>
        </w:tc>
      </w:tr>
    </w:tbl>
    <w:p w:rsidR="00CC3FEC" w:rsidRPr="00C62311" w:rsidRDefault="00CC3FEC" w:rsidP="00DF6185">
      <w:pPr>
        <w:spacing w:before="120" w:after="120"/>
        <w:jc w:val="both"/>
        <w:rPr>
          <w:b/>
          <w:bCs/>
        </w:rPr>
      </w:pPr>
      <w:r w:rsidRPr="00C62311">
        <w:rPr>
          <w:b/>
          <w:bCs/>
        </w:rPr>
        <w:tab/>
      </w:r>
      <w:r w:rsidR="00EE757A">
        <w:rPr>
          <w:b/>
          <w:bCs/>
        </w:rPr>
        <w:t>Клиенти на д</w:t>
      </w:r>
      <w:r w:rsidR="00E76F75" w:rsidRPr="00C62311">
        <w:rPr>
          <w:b/>
          <w:bCs/>
        </w:rPr>
        <w:t>ружеството</w:t>
      </w:r>
      <w:r w:rsidR="00EE757A">
        <w:rPr>
          <w:b/>
          <w:bCs/>
        </w:rPr>
        <w:t xml:space="preserve"> с относителен дял над 10%</w:t>
      </w:r>
      <w:r w:rsidR="00E76F75" w:rsidRPr="00C62311">
        <w:rPr>
          <w:b/>
          <w:bCs/>
        </w:rPr>
        <w:t xml:space="preserve"> </w:t>
      </w:r>
      <w:r w:rsidR="00EE757A">
        <w:rPr>
          <w:b/>
          <w:bCs/>
        </w:rPr>
        <w:t xml:space="preserve">от приходите </w:t>
      </w:r>
      <w:r w:rsidR="00DF6185">
        <w:rPr>
          <w:b/>
          <w:bCs/>
        </w:rPr>
        <w:t>от продажби:</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
        <w:gridCol w:w="2564"/>
        <w:gridCol w:w="1559"/>
        <w:gridCol w:w="1560"/>
        <w:gridCol w:w="1559"/>
        <w:gridCol w:w="1843"/>
      </w:tblGrid>
      <w:tr w:rsidR="00E76F75" w:rsidRPr="00C62311" w:rsidTr="0071675D">
        <w:tc>
          <w:tcPr>
            <w:tcW w:w="521"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jc w:val="center"/>
            </w:pPr>
            <w:r w:rsidRPr="00C62311">
              <w:t>№</w:t>
            </w:r>
          </w:p>
        </w:tc>
        <w:tc>
          <w:tcPr>
            <w:tcW w:w="2564"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jc w:val="center"/>
            </w:pPr>
            <w:r w:rsidRPr="00C62311">
              <w:t>Наименование</w:t>
            </w:r>
          </w:p>
        </w:tc>
        <w:tc>
          <w:tcPr>
            <w:tcW w:w="1559"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jc w:val="center"/>
              <w:rPr>
                <w:lang w:val="en-US"/>
              </w:rPr>
            </w:pPr>
            <w:r w:rsidRPr="00C62311">
              <w:t>2016 год.</w:t>
            </w:r>
          </w:p>
        </w:tc>
        <w:tc>
          <w:tcPr>
            <w:tcW w:w="1560"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jc w:val="center"/>
              <w:rPr>
                <w:lang w:val="en-US"/>
              </w:rPr>
            </w:pPr>
            <w:r w:rsidRPr="00C62311">
              <w:t>2015 год.</w:t>
            </w:r>
          </w:p>
        </w:tc>
        <w:tc>
          <w:tcPr>
            <w:tcW w:w="1559"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jc w:val="center"/>
            </w:pPr>
            <w:r w:rsidRPr="00C62311">
              <w:t>Изменение сума</w:t>
            </w:r>
          </w:p>
        </w:tc>
        <w:tc>
          <w:tcPr>
            <w:tcW w:w="1843"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jc w:val="center"/>
            </w:pPr>
            <w:r w:rsidRPr="00C62311">
              <w:t>Относително изменение</w:t>
            </w:r>
          </w:p>
          <w:p w:rsidR="00E76F75" w:rsidRPr="00C62311" w:rsidRDefault="00E76F75" w:rsidP="0071675D">
            <w:pPr>
              <w:spacing w:line="288" w:lineRule="auto"/>
              <w:jc w:val="center"/>
              <w:rPr>
                <w:lang w:val="en-US"/>
              </w:rPr>
            </w:pPr>
            <w:r w:rsidRPr="00C62311">
              <w:rPr>
                <w:lang w:val="en-US"/>
              </w:rPr>
              <w:t>3</w:t>
            </w:r>
            <w:r w:rsidRPr="00C62311">
              <w:t>:</w:t>
            </w:r>
            <w:r w:rsidRPr="00C62311">
              <w:rPr>
                <w:lang w:val="en-US"/>
              </w:rPr>
              <w:t>4</w:t>
            </w:r>
          </w:p>
        </w:tc>
      </w:tr>
      <w:tr w:rsidR="00E76F75" w:rsidRPr="00C62311" w:rsidTr="0071675D">
        <w:tc>
          <w:tcPr>
            <w:tcW w:w="521"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jc w:val="center"/>
            </w:pPr>
            <w:r w:rsidRPr="00C62311">
              <w:t>1</w:t>
            </w:r>
          </w:p>
        </w:tc>
        <w:tc>
          <w:tcPr>
            <w:tcW w:w="2564"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jc w:val="center"/>
            </w:pPr>
            <w:r w:rsidRPr="00C62311">
              <w:t>2</w:t>
            </w:r>
          </w:p>
        </w:tc>
        <w:tc>
          <w:tcPr>
            <w:tcW w:w="1559"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jc w:val="center"/>
            </w:pPr>
            <w:r w:rsidRPr="00C62311">
              <w:t>3</w:t>
            </w:r>
          </w:p>
        </w:tc>
        <w:tc>
          <w:tcPr>
            <w:tcW w:w="1560"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jc w:val="center"/>
            </w:pPr>
            <w:r w:rsidRPr="00C62311">
              <w:t>4</w:t>
            </w:r>
          </w:p>
        </w:tc>
        <w:tc>
          <w:tcPr>
            <w:tcW w:w="1559"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jc w:val="center"/>
            </w:pPr>
            <w:r w:rsidRPr="00C62311">
              <w:t>5</w:t>
            </w:r>
          </w:p>
        </w:tc>
        <w:tc>
          <w:tcPr>
            <w:tcW w:w="1843"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jc w:val="center"/>
            </w:pPr>
            <w:r w:rsidRPr="00C62311">
              <w:t>6</w:t>
            </w:r>
          </w:p>
        </w:tc>
      </w:tr>
      <w:tr w:rsidR="00E76F75" w:rsidRPr="00C62311" w:rsidTr="0071675D">
        <w:tc>
          <w:tcPr>
            <w:tcW w:w="521"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jc w:val="right"/>
            </w:pPr>
            <w:r w:rsidRPr="00C62311">
              <w:t>1.</w:t>
            </w:r>
          </w:p>
        </w:tc>
        <w:tc>
          <w:tcPr>
            <w:tcW w:w="2564" w:type="dxa"/>
            <w:tcBorders>
              <w:top w:val="single" w:sz="6" w:space="0" w:color="auto"/>
              <w:left w:val="single" w:sz="6" w:space="0" w:color="auto"/>
              <w:bottom w:val="single" w:sz="6" w:space="0" w:color="auto"/>
              <w:right w:val="single" w:sz="6" w:space="0" w:color="auto"/>
            </w:tcBorders>
          </w:tcPr>
          <w:p w:rsidR="00E76F75" w:rsidRPr="00C62311" w:rsidRDefault="00E76F75" w:rsidP="0071675D">
            <w:pPr>
              <w:spacing w:line="288" w:lineRule="auto"/>
            </w:pPr>
            <w:r w:rsidRPr="00C62311">
              <w:t>РЗОК</w:t>
            </w:r>
          </w:p>
        </w:tc>
        <w:tc>
          <w:tcPr>
            <w:tcW w:w="1559" w:type="dxa"/>
            <w:tcBorders>
              <w:top w:val="single" w:sz="6" w:space="0" w:color="auto"/>
              <w:left w:val="single" w:sz="6" w:space="0" w:color="auto"/>
              <w:bottom w:val="single" w:sz="6" w:space="0" w:color="auto"/>
              <w:right w:val="single" w:sz="6" w:space="0" w:color="auto"/>
            </w:tcBorders>
          </w:tcPr>
          <w:p w:rsidR="00E76F75" w:rsidRPr="008D1D30" w:rsidRDefault="008D1D30" w:rsidP="0071675D">
            <w:pPr>
              <w:spacing w:line="288" w:lineRule="auto"/>
              <w:jc w:val="right"/>
              <w:rPr>
                <w:lang w:val="en-US"/>
              </w:rPr>
            </w:pPr>
            <w:r>
              <w:rPr>
                <w:lang w:val="en-US"/>
              </w:rPr>
              <w:t>3 333</w:t>
            </w:r>
          </w:p>
        </w:tc>
        <w:tc>
          <w:tcPr>
            <w:tcW w:w="1560" w:type="dxa"/>
            <w:tcBorders>
              <w:top w:val="single" w:sz="6" w:space="0" w:color="auto"/>
              <w:left w:val="single" w:sz="6" w:space="0" w:color="auto"/>
              <w:bottom w:val="single" w:sz="6" w:space="0" w:color="auto"/>
              <w:right w:val="single" w:sz="6" w:space="0" w:color="auto"/>
            </w:tcBorders>
          </w:tcPr>
          <w:p w:rsidR="00E76F75" w:rsidRPr="008D1D30" w:rsidRDefault="008D1D30" w:rsidP="0071675D">
            <w:pPr>
              <w:spacing w:line="288" w:lineRule="auto"/>
              <w:jc w:val="right"/>
              <w:rPr>
                <w:lang w:val="en-US"/>
              </w:rPr>
            </w:pPr>
            <w:r>
              <w:rPr>
                <w:lang w:val="en-US"/>
              </w:rPr>
              <w:t>3 300</w:t>
            </w:r>
          </w:p>
        </w:tc>
        <w:tc>
          <w:tcPr>
            <w:tcW w:w="1559" w:type="dxa"/>
            <w:tcBorders>
              <w:top w:val="single" w:sz="6" w:space="0" w:color="auto"/>
              <w:left w:val="single" w:sz="6" w:space="0" w:color="auto"/>
              <w:bottom w:val="single" w:sz="6" w:space="0" w:color="auto"/>
              <w:right w:val="single" w:sz="6" w:space="0" w:color="auto"/>
            </w:tcBorders>
          </w:tcPr>
          <w:p w:rsidR="00E76F75" w:rsidRPr="008D1D30" w:rsidRDefault="008D1D30" w:rsidP="0071675D">
            <w:pPr>
              <w:spacing w:line="288" w:lineRule="auto"/>
              <w:jc w:val="right"/>
              <w:rPr>
                <w:lang w:val="en-US"/>
              </w:rPr>
            </w:pPr>
            <w:r>
              <w:rPr>
                <w:lang w:val="en-US"/>
              </w:rPr>
              <w:t>33</w:t>
            </w:r>
          </w:p>
        </w:tc>
        <w:tc>
          <w:tcPr>
            <w:tcW w:w="1843" w:type="dxa"/>
            <w:tcBorders>
              <w:top w:val="single" w:sz="6" w:space="0" w:color="auto"/>
              <w:left w:val="single" w:sz="6" w:space="0" w:color="auto"/>
              <w:bottom w:val="single" w:sz="6" w:space="0" w:color="auto"/>
              <w:right w:val="single" w:sz="6" w:space="0" w:color="auto"/>
            </w:tcBorders>
          </w:tcPr>
          <w:p w:rsidR="00E76F75" w:rsidRPr="008D1D30" w:rsidRDefault="008D1D30" w:rsidP="0071675D">
            <w:pPr>
              <w:spacing w:line="288" w:lineRule="auto"/>
              <w:jc w:val="right"/>
              <w:rPr>
                <w:lang w:val="en-US"/>
              </w:rPr>
            </w:pPr>
            <w:r>
              <w:rPr>
                <w:lang w:val="en-US"/>
              </w:rPr>
              <w:t>1.01</w:t>
            </w:r>
          </w:p>
        </w:tc>
      </w:tr>
    </w:tbl>
    <w:p w:rsidR="00801FE1" w:rsidRPr="00C62311" w:rsidRDefault="00CC3FEC" w:rsidP="00CC3FEC">
      <w:pPr>
        <w:spacing w:before="120" w:after="120"/>
        <w:ind w:firstLine="720"/>
        <w:jc w:val="both"/>
        <w:rPr>
          <w:b/>
          <w:bCs/>
        </w:rPr>
      </w:pPr>
      <w:r w:rsidRPr="00C62311">
        <w:t>Дружеството реализира своите приходи само на вътрешни пазари</w:t>
      </w:r>
      <w:r w:rsidRPr="00C62311">
        <w:rPr>
          <w:b/>
          <w:bCs/>
        </w:rPr>
        <w:t>.</w:t>
      </w:r>
    </w:p>
    <w:p w:rsidR="00322C64" w:rsidRPr="00C62311" w:rsidRDefault="00322C64" w:rsidP="00322C64">
      <w:pPr>
        <w:spacing w:before="120" w:after="120"/>
        <w:ind w:firstLine="720"/>
        <w:jc w:val="both"/>
        <w:rPr>
          <w:b/>
          <w:bCs/>
          <w:i/>
          <w:iCs/>
        </w:rPr>
      </w:pPr>
      <w:r w:rsidRPr="00C62311">
        <w:rPr>
          <w:b/>
          <w:bCs/>
          <w:i/>
          <w:iCs/>
        </w:rPr>
        <w:t>Разходи за дейността 2016 год. спрямо 2015 год.:</w:t>
      </w:r>
    </w:p>
    <w:p w:rsidR="00322C64" w:rsidRPr="00C62311" w:rsidRDefault="00322C64" w:rsidP="00322C64">
      <w:pPr>
        <w:spacing w:line="288" w:lineRule="auto"/>
        <w:jc w:val="right"/>
      </w:pPr>
      <w:r w:rsidRPr="00C62311">
        <w:t>хил. лв.</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2643"/>
        <w:gridCol w:w="1317"/>
        <w:gridCol w:w="1620"/>
        <w:gridCol w:w="1620"/>
        <w:gridCol w:w="1800"/>
      </w:tblGrid>
      <w:tr w:rsidR="00322C64" w:rsidRPr="00C62311" w:rsidTr="00322C64">
        <w:tc>
          <w:tcPr>
            <w:tcW w:w="468"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center"/>
            </w:pPr>
            <w:r w:rsidRPr="00C62311">
              <w:t>№</w:t>
            </w:r>
          </w:p>
        </w:tc>
        <w:tc>
          <w:tcPr>
            <w:tcW w:w="2643"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center"/>
            </w:pPr>
            <w:r w:rsidRPr="00C62311">
              <w:t>Наименование</w:t>
            </w:r>
          </w:p>
        </w:tc>
        <w:tc>
          <w:tcPr>
            <w:tcW w:w="1317"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center"/>
            </w:pPr>
            <w:r w:rsidRPr="00C62311">
              <w:t>2016 год.</w:t>
            </w:r>
          </w:p>
        </w:tc>
        <w:tc>
          <w:tcPr>
            <w:tcW w:w="1620"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center"/>
            </w:pPr>
            <w:r w:rsidRPr="00C62311">
              <w:t>2015 год.</w:t>
            </w:r>
          </w:p>
        </w:tc>
        <w:tc>
          <w:tcPr>
            <w:tcW w:w="1620"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center"/>
            </w:pPr>
            <w:r w:rsidRPr="00C62311">
              <w:t>Изменение сума</w:t>
            </w:r>
          </w:p>
        </w:tc>
        <w:tc>
          <w:tcPr>
            <w:tcW w:w="1800"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center"/>
            </w:pPr>
            <w:r w:rsidRPr="00C62311">
              <w:t>Относително изменение</w:t>
            </w:r>
          </w:p>
          <w:p w:rsidR="00322C64" w:rsidRPr="00C62311" w:rsidRDefault="00322C64" w:rsidP="0071675D">
            <w:pPr>
              <w:spacing w:line="288" w:lineRule="auto"/>
              <w:jc w:val="center"/>
            </w:pPr>
            <w:r w:rsidRPr="00C62311">
              <w:t>3:4</w:t>
            </w:r>
          </w:p>
        </w:tc>
      </w:tr>
      <w:tr w:rsidR="00322C64" w:rsidRPr="00C62311" w:rsidTr="00322C64">
        <w:tc>
          <w:tcPr>
            <w:tcW w:w="468"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center"/>
            </w:pPr>
            <w:r w:rsidRPr="00C62311">
              <w:t>1</w:t>
            </w:r>
          </w:p>
        </w:tc>
        <w:tc>
          <w:tcPr>
            <w:tcW w:w="2643"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center"/>
            </w:pPr>
            <w:r w:rsidRPr="00C62311">
              <w:t>2</w:t>
            </w:r>
          </w:p>
        </w:tc>
        <w:tc>
          <w:tcPr>
            <w:tcW w:w="1317"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center"/>
            </w:pPr>
            <w:r w:rsidRPr="00C62311">
              <w:t>3</w:t>
            </w:r>
          </w:p>
        </w:tc>
        <w:tc>
          <w:tcPr>
            <w:tcW w:w="1620"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center"/>
            </w:pPr>
            <w:r w:rsidRPr="00C62311">
              <w:t>4</w:t>
            </w:r>
          </w:p>
        </w:tc>
        <w:tc>
          <w:tcPr>
            <w:tcW w:w="1620"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center"/>
            </w:pPr>
            <w:r w:rsidRPr="00C62311">
              <w:t>5</w:t>
            </w:r>
          </w:p>
        </w:tc>
        <w:tc>
          <w:tcPr>
            <w:tcW w:w="1800"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center"/>
            </w:pPr>
            <w:r w:rsidRPr="00C62311">
              <w:t>6</w:t>
            </w:r>
          </w:p>
        </w:tc>
      </w:tr>
      <w:tr w:rsidR="00322C64" w:rsidRPr="00C62311" w:rsidTr="00322C64">
        <w:tc>
          <w:tcPr>
            <w:tcW w:w="468"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right"/>
            </w:pPr>
            <w:r w:rsidRPr="00C62311">
              <w:t>1.</w:t>
            </w:r>
          </w:p>
        </w:tc>
        <w:tc>
          <w:tcPr>
            <w:tcW w:w="2643"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pPr>
            <w:r w:rsidRPr="00C62311">
              <w:t>Материали</w:t>
            </w:r>
          </w:p>
        </w:tc>
        <w:tc>
          <w:tcPr>
            <w:tcW w:w="1317"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725</w:t>
            </w:r>
          </w:p>
        </w:tc>
        <w:tc>
          <w:tcPr>
            <w:tcW w:w="162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803</w:t>
            </w:r>
          </w:p>
        </w:tc>
        <w:tc>
          <w:tcPr>
            <w:tcW w:w="162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-78</w:t>
            </w:r>
          </w:p>
        </w:tc>
        <w:tc>
          <w:tcPr>
            <w:tcW w:w="180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0.90</w:t>
            </w:r>
          </w:p>
        </w:tc>
      </w:tr>
      <w:tr w:rsidR="00322C64" w:rsidRPr="00C62311" w:rsidTr="00322C64">
        <w:tc>
          <w:tcPr>
            <w:tcW w:w="468"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right"/>
            </w:pPr>
            <w:r w:rsidRPr="00C62311">
              <w:t>2.</w:t>
            </w:r>
          </w:p>
        </w:tc>
        <w:tc>
          <w:tcPr>
            <w:tcW w:w="2643"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pPr>
            <w:r w:rsidRPr="00C62311">
              <w:t>Външни услуги</w:t>
            </w:r>
          </w:p>
        </w:tc>
        <w:tc>
          <w:tcPr>
            <w:tcW w:w="1317"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279</w:t>
            </w:r>
          </w:p>
        </w:tc>
        <w:tc>
          <w:tcPr>
            <w:tcW w:w="162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300</w:t>
            </w:r>
          </w:p>
        </w:tc>
        <w:tc>
          <w:tcPr>
            <w:tcW w:w="162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-21</w:t>
            </w:r>
          </w:p>
        </w:tc>
        <w:tc>
          <w:tcPr>
            <w:tcW w:w="180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0.93</w:t>
            </w:r>
          </w:p>
        </w:tc>
      </w:tr>
      <w:tr w:rsidR="00322C64" w:rsidRPr="00C62311" w:rsidTr="00322C64">
        <w:tc>
          <w:tcPr>
            <w:tcW w:w="468"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right"/>
            </w:pPr>
            <w:r w:rsidRPr="00C62311">
              <w:t>3.</w:t>
            </w:r>
          </w:p>
        </w:tc>
        <w:tc>
          <w:tcPr>
            <w:tcW w:w="2643"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pPr>
            <w:r w:rsidRPr="00C62311">
              <w:t>Възнаграждения</w:t>
            </w:r>
          </w:p>
        </w:tc>
        <w:tc>
          <w:tcPr>
            <w:tcW w:w="1317"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3 303</w:t>
            </w:r>
          </w:p>
        </w:tc>
        <w:tc>
          <w:tcPr>
            <w:tcW w:w="162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2 961</w:t>
            </w:r>
          </w:p>
        </w:tc>
        <w:tc>
          <w:tcPr>
            <w:tcW w:w="162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342</w:t>
            </w:r>
          </w:p>
        </w:tc>
        <w:tc>
          <w:tcPr>
            <w:tcW w:w="180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1.12</w:t>
            </w:r>
          </w:p>
        </w:tc>
      </w:tr>
      <w:tr w:rsidR="00322C64" w:rsidRPr="00C62311" w:rsidTr="00322C64">
        <w:tc>
          <w:tcPr>
            <w:tcW w:w="468"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right"/>
            </w:pPr>
            <w:r w:rsidRPr="00C62311">
              <w:t>4.</w:t>
            </w:r>
          </w:p>
        </w:tc>
        <w:tc>
          <w:tcPr>
            <w:tcW w:w="2643"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pPr>
            <w:r w:rsidRPr="00C62311">
              <w:t>Осигуровки</w:t>
            </w:r>
          </w:p>
        </w:tc>
        <w:tc>
          <w:tcPr>
            <w:tcW w:w="1317"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497</w:t>
            </w:r>
          </w:p>
        </w:tc>
        <w:tc>
          <w:tcPr>
            <w:tcW w:w="162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462</w:t>
            </w:r>
          </w:p>
        </w:tc>
        <w:tc>
          <w:tcPr>
            <w:tcW w:w="162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35</w:t>
            </w:r>
          </w:p>
        </w:tc>
        <w:tc>
          <w:tcPr>
            <w:tcW w:w="180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1.08</w:t>
            </w:r>
          </w:p>
        </w:tc>
      </w:tr>
      <w:tr w:rsidR="00322C64" w:rsidRPr="00C62311" w:rsidTr="00322C64">
        <w:tc>
          <w:tcPr>
            <w:tcW w:w="468"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right"/>
            </w:pPr>
            <w:r w:rsidRPr="00C62311">
              <w:t>5.</w:t>
            </w:r>
          </w:p>
        </w:tc>
        <w:tc>
          <w:tcPr>
            <w:tcW w:w="2643"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pPr>
            <w:r w:rsidRPr="00C62311">
              <w:t>Амортизации</w:t>
            </w:r>
          </w:p>
        </w:tc>
        <w:tc>
          <w:tcPr>
            <w:tcW w:w="1317" w:type="dxa"/>
            <w:tcBorders>
              <w:top w:val="single" w:sz="6" w:space="0" w:color="auto"/>
              <w:left w:val="single" w:sz="6" w:space="0" w:color="auto"/>
              <w:bottom w:val="single" w:sz="6" w:space="0" w:color="auto"/>
              <w:right w:val="single" w:sz="6" w:space="0" w:color="auto"/>
            </w:tcBorders>
          </w:tcPr>
          <w:p w:rsidR="00322C64" w:rsidRPr="00C62311" w:rsidRDefault="008D1D30" w:rsidP="0071675D">
            <w:pPr>
              <w:spacing w:line="288" w:lineRule="auto"/>
              <w:jc w:val="right"/>
              <w:rPr>
                <w:lang w:val="en-US"/>
              </w:rPr>
            </w:pPr>
            <w:r>
              <w:rPr>
                <w:lang w:val="en-US"/>
              </w:rPr>
              <w:t>143</w:t>
            </w:r>
          </w:p>
        </w:tc>
        <w:tc>
          <w:tcPr>
            <w:tcW w:w="162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155</w:t>
            </w:r>
          </w:p>
        </w:tc>
        <w:tc>
          <w:tcPr>
            <w:tcW w:w="162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-12</w:t>
            </w:r>
          </w:p>
        </w:tc>
        <w:tc>
          <w:tcPr>
            <w:tcW w:w="1800" w:type="dxa"/>
            <w:tcBorders>
              <w:top w:val="single" w:sz="6" w:space="0" w:color="auto"/>
              <w:left w:val="single" w:sz="6" w:space="0" w:color="auto"/>
              <w:bottom w:val="single" w:sz="6" w:space="0" w:color="auto"/>
              <w:right w:val="single" w:sz="6" w:space="0" w:color="auto"/>
            </w:tcBorders>
          </w:tcPr>
          <w:p w:rsidR="00322C64" w:rsidRPr="008D1D30" w:rsidRDefault="008D1D30" w:rsidP="0071675D">
            <w:pPr>
              <w:spacing w:line="288" w:lineRule="auto"/>
              <w:jc w:val="right"/>
              <w:rPr>
                <w:lang w:val="en-US"/>
              </w:rPr>
            </w:pPr>
            <w:r>
              <w:rPr>
                <w:lang w:val="en-US"/>
              </w:rPr>
              <w:t>0.92</w:t>
            </w:r>
          </w:p>
        </w:tc>
      </w:tr>
      <w:tr w:rsidR="00322C64" w:rsidRPr="00C62311" w:rsidTr="00322C64">
        <w:tc>
          <w:tcPr>
            <w:tcW w:w="468"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right"/>
            </w:pPr>
            <w:r w:rsidRPr="00C62311">
              <w:t>6.</w:t>
            </w:r>
          </w:p>
        </w:tc>
        <w:tc>
          <w:tcPr>
            <w:tcW w:w="2643"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pPr>
            <w:r w:rsidRPr="00C62311">
              <w:t xml:space="preserve">Други разходи </w:t>
            </w:r>
          </w:p>
        </w:tc>
        <w:tc>
          <w:tcPr>
            <w:tcW w:w="1317" w:type="dxa"/>
            <w:tcBorders>
              <w:top w:val="single" w:sz="6" w:space="0" w:color="auto"/>
              <w:left w:val="single" w:sz="6" w:space="0" w:color="auto"/>
              <w:bottom w:val="single" w:sz="6" w:space="0" w:color="auto"/>
              <w:right w:val="single" w:sz="6" w:space="0" w:color="auto"/>
            </w:tcBorders>
          </w:tcPr>
          <w:p w:rsidR="00322C64" w:rsidRPr="00C62311" w:rsidRDefault="0030763E" w:rsidP="0030763E">
            <w:pPr>
              <w:spacing w:line="288" w:lineRule="auto"/>
              <w:jc w:val="right"/>
              <w:rPr>
                <w:lang w:val="en-US"/>
              </w:rPr>
            </w:pPr>
            <w:r>
              <w:rPr>
                <w:lang w:val="en-US"/>
              </w:rPr>
              <w:t>1</w:t>
            </w:r>
            <w:r>
              <w:t>18</w:t>
            </w:r>
          </w:p>
        </w:tc>
        <w:tc>
          <w:tcPr>
            <w:tcW w:w="1620" w:type="dxa"/>
            <w:tcBorders>
              <w:top w:val="single" w:sz="6" w:space="0" w:color="auto"/>
              <w:left w:val="single" w:sz="6" w:space="0" w:color="auto"/>
              <w:bottom w:val="single" w:sz="6" w:space="0" w:color="auto"/>
              <w:right w:val="single" w:sz="6" w:space="0" w:color="auto"/>
            </w:tcBorders>
          </w:tcPr>
          <w:p w:rsidR="00322C64" w:rsidRPr="008E37C7" w:rsidRDefault="008E37C7" w:rsidP="0071675D">
            <w:pPr>
              <w:spacing w:line="288" w:lineRule="auto"/>
              <w:jc w:val="right"/>
              <w:rPr>
                <w:lang w:val="en-US"/>
              </w:rPr>
            </w:pPr>
            <w:r>
              <w:rPr>
                <w:lang w:val="en-US"/>
              </w:rPr>
              <w:t>123</w:t>
            </w:r>
          </w:p>
        </w:tc>
        <w:tc>
          <w:tcPr>
            <w:tcW w:w="1620" w:type="dxa"/>
            <w:tcBorders>
              <w:top w:val="single" w:sz="6" w:space="0" w:color="auto"/>
              <w:left w:val="single" w:sz="6" w:space="0" w:color="auto"/>
              <w:bottom w:val="single" w:sz="6" w:space="0" w:color="auto"/>
              <w:right w:val="single" w:sz="6" w:space="0" w:color="auto"/>
            </w:tcBorders>
          </w:tcPr>
          <w:p w:rsidR="00322C64" w:rsidRPr="00D47A68" w:rsidRDefault="00D47A68" w:rsidP="0071675D">
            <w:pPr>
              <w:spacing w:line="288" w:lineRule="auto"/>
              <w:jc w:val="right"/>
            </w:pPr>
            <w:r>
              <w:rPr>
                <w:lang w:val="en-US"/>
              </w:rPr>
              <w:t>-</w:t>
            </w:r>
            <w:r>
              <w:t>5</w:t>
            </w:r>
          </w:p>
        </w:tc>
        <w:tc>
          <w:tcPr>
            <w:tcW w:w="1800" w:type="dxa"/>
            <w:tcBorders>
              <w:top w:val="single" w:sz="6" w:space="0" w:color="auto"/>
              <w:left w:val="single" w:sz="6" w:space="0" w:color="auto"/>
              <w:bottom w:val="single" w:sz="6" w:space="0" w:color="auto"/>
              <w:right w:val="single" w:sz="6" w:space="0" w:color="auto"/>
            </w:tcBorders>
          </w:tcPr>
          <w:p w:rsidR="00322C64" w:rsidRPr="00D47A68" w:rsidRDefault="00D47A68" w:rsidP="0071675D">
            <w:pPr>
              <w:spacing w:line="288" w:lineRule="auto"/>
              <w:jc w:val="right"/>
            </w:pPr>
            <w:r>
              <w:rPr>
                <w:lang w:val="en-US"/>
              </w:rPr>
              <w:t>0.9</w:t>
            </w:r>
            <w:r>
              <w:t>6</w:t>
            </w:r>
          </w:p>
        </w:tc>
      </w:tr>
      <w:tr w:rsidR="00322C64" w:rsidRPr="00C62311" w:rsidTr="00322C64">
        <w:tc>
          <w:tcPr>
            <w:tcW w:w="468"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right"/>
            </w:pPr>
            <w:r w:rsidRPr="00C62311">
              <w:t>7.</w:t>
            </w:r>
          </w:p>
        </w:tc>
        <w:tc>
          <w:tcPr>
            <w:tcW w:w="2643"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pPr>
            <w:r w:rsidRPr="00C62311">
              <w:t>Финансови разходи</w:t>
            </w:r>
          </w:p>
        </w:tc>
        <w:tc>
          <w:tcPr>
            <w:tcW w:w="1317" w:type="dxa"/>
            <w:tcBorders>
              <w:top w:val="single" w:sz="6" w:space="0" w:color="auto"/>
              <w:left w:val="single" w:sz="6" w:space="0" w:color="auto"/>
              <w:bottom w:val="single" w:sz="6" w:space="0" w:color="auto"/>
              <w:right w:val="single" w:sz="6" w:space="0" w:color="auto"/>
            </w:tcBorders>
          </w:tcPr>
          <w:p w:rsidR="00322C64" w:rsidRPr="0030763E" w:rsidRDefault="0030763E" w:rsidP="0071675D">
            <w:pPr>
              <w:spacing w:line="288" w:lineRule="auto"/>
              <w:jc w:val="right"/>
            </w:pPr>
            <w:r>
              <w:t>7</w:t>
            </w:r>
          </w:p>
        </w:tc>
        <w:tc>
          <w:tcPr>
            <w:tcW w:w="1620" w:type="dxa"/>
            <w:tcBorders>
              <w:top w:val="single" w:sz="6" w:space="0" w:color="auto"/>
              <w:left w:val="single" w:sz="6" w:space="0" w:color="auto"/>
              <w:bottom w:val="single" w:sz="6" w:space="0" w:color="auto"/>
              <w:right w:val="single" w:sz="6" w:space="0" w:color="auto"/>
            </w:tcBorders>
          </w:tcPr>
          <w:p w:rsidR="00322C64" w:rsidRPr="008E37C7" w:rsidRDefault="008E37C7" w:rsidP="0071675D">
            <w:pPr>
              <w:spacing w:line="288" w:lineRule="auto"/>
              <w:jc w:val="right"/>
              <w:rPr>
                <w:lang w:val="en-US"/>
              </w:rPr>
            </w:pPr>
            <w:r>
              <w:rPr>
                <w:lang w:val="en-US"/>
              </w:rPr>
              <w:t>13</w:t>
            </w:r>
          </w:p>
        </w:tc>
        <w:tc>
          <w:tcPr>
            <w:tcW w:w="1620" w:type="dxa"/>
            <w:tcBorders>
              <w:top w:val="single" w:sz="6" w:space="0" w:color="auto"/>
              <w:left w:val="single" w:sz="6" w:space="0" w:color="auto"/>
              <w:bottom w:val="single" w:sz="6" w:space="0" w:color="auto"/>
              <w:right w:val="single" w:sz="6" w:space="0" w:color="auto"/>
            </w:tcBorders>
          </w:tcPr>
          <w:p w:rsidR="00322C64" w:rsidRPr="00D47A68" w:rsidRDefault="00D47A68" w:rsidP="0071675D">
            <w:pPr>
              <w:spacing w:line="288" w:lineRule="auto"/>
              <w:jc w:val="right"/>
            </w:pPr>
            <w:r>
              <w:rPr>
                <w:lang w:val="en-US"/>
              </w:rPr>
              <w:t>-</w:t>
            </w:r>
            <w:r>
              <w:t>6</w:t>
            </w:r>
          </w:p>
        </w:tc>
        <w:tc>
          <w:tcPr>
            <w:tcW w:w="1800" w:type="dxa"/>
            <w:tcBorders>
              <w:top w:val="single" w:sz="6" w:space="0" w:color="auto"/>
              <w:left w:val="single" w:sz="6" w:space="0" w:color="auto"/>
              <w:bottom w:val="single" w:sz="6" w:space="0" w:color="auto"/>
              <w:right w:val="single" w:sz="6" w:space="0" w:color="auto"/>
            </w:tcBorders>
          </w:tcPr>
          <w:p w:rsidR="00322C64" w:rsidRPr="008E37C7" w:rsidRDefault="008E37C7" w:rsidP="0071675D">
            <w:pPr>
              <w:spacing w:line="288" w:lineRule="auto"/>
              <w:jc w:val="right"/>
              <w:rPr>
                <w:lang w:val="en-US"/>
              </w:rPr>
            </w:pPr>
            <w:r>
              <w:rPr>
                <w:lang w:val="en-US"/>
              </w:rPr>
              <w:t>0.62</w:t>
            </w:r>
          </w:p>
        </w:tc>
      </w:tr>
      <w:tr w:rsidR="00322C64" w:rsidRPr="00C62311" w:rsidTr="00322C64">
        <w:tc>
          <w:tcPr>
            <w:tcW w:w="468"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jc w:val="right"/>
            </w:pPr>
          </w:p>
        </w:tc>
        <w:tc>
          <w:tcPr>
            <w:tcW w:w="2643" w:type="dxa"/>
            <w:tcBorders>
              <w:top w:val="single" w:sz="6" w:space="0" w:color="auto"/>
              <w:left w:val="single" w:sz="6" w:space="0" w:color="auto"/>
              <w:bottom w:val="single" w:sz="6" w:space="0" w:color="auto"/>
              <w:right w:val="single" w:sz="6" w:space="0" w:color="auto"/>
            </w:tcBorders>
          </w:tcPr>
          <w:p w:rsidR="00322C64" w:rsidRPr="00C62311" w:rsidRDefault="00322C64" w:rsidP="0071675D">
            <w:pPr>
              <w:spacing w:line="288" w:lineRule="auto"/>
            </w:pPr>
            <w:r w:rsidRPr="00C62311">
              <w:t>Всичко разходи</w:t>
            </w:r>
          </w:p>
        </w:tc>
        <w:tc>
          <w:tcPr>
            <w:tcW w:w="1317" w:type="dxa"/>
            <w:tcBorders>
              <w:top w:val="single" w:sz="6" w:space="0" w:color="auto"/>
              <w:left w:val="single" w:sz="6" w:space="0" w:color="auto"/>
              <w:bottom w:val="single" w:sz="6" w:space="0" w:color="auto"/>
              <w:right w:val="single" w:sz="6" w:space="0" w:color="auto"/>
            </w:tcBorders>
          </w:tcPr>
          <w:p w:rsidR="00322C64" w:rsidRPr="0030763E" w:rsidRDefault="008E37C7" w:rsidP="0030763E">
            <w:pPr>
              <w:spacing w:line="288" w:lineRule="auto"/>
              <w:jc w:val="right"/>
            </w:pPr>
            <w:r>
              <w:rPr>
                <w:lang w:val="en-US"/>
              </w:rPr>
              <w:t>5 07</w:t>
            </w:r>
            <w:r w:rsidR="0030763E">
              <w:t>2</w:t>
            </w:r>
          </w:p>
        </w:tc>
        <w:tc>
          <w:tcPr>
            <w:tcW w:w="1620" w:type="dxa"/>
            <w:tcBorders>
              <w:top w:val="single" w:sz="6" w:space="0" w:color="auto"/>
              <w:left w:val="single" w:sz="6" w:space="0" w:color="auto"/>
              <w:bottom w:val="single" w:sz="6" w:space="0" w:color="auto"/>
              <w:right w:val="single" w:sz="6" w:space="0" w:color="auto"/>
            </w:tcBorders>
          </w:tcPr>
          <w:p w:rsidR="00322C64" w:rsidRPr="008E37C7" w:rsidRDefault="008E37C7" w:rsidP="0071675D">
            <w:pPr>
              <w:spacing w:line="288" w:lineRule="auto"/>
              <w:jc w:val="right"/>
              <w:rPr>
                <w:lang w:val="en-US"/>
              </w:rPr>
            </w:pPr>
            <w:r>
              <w:rPr>
                <w:lang w:val="en-US"/>
              </w:rPr>
              <w:t>4 817</w:t>
            </w:r>
          </w:p>
        </w:tc>
        <w:tc>
          <w:tcPr>
            <w:tcW w:w="1620" w:type="dxa"/>
            <w:tcBorders>
              <w:top w:val="single" w:sz="6" w:space="0" w:color="auto"/>
              <w:left w:val="single" w:sz="6" w:space="0" w:color="auto"/>
              <w:bottom w:val="single" w:sz="6" w:space="0" w:color="auto"/>
              <w:right w:val="single" w:sz="6" w:space="0" w:color="auto"/>
            </w:tcBorders>
          </w:tcPr>
          <w:p w:rsidR="00322C64" w:rsidRPr="00D47A68" w:rsidRDefault="008E37C7" w:rsidP="00D47A68">
            <w:pPr>
              <w:spacing w:line="288" w:lineRule="auto"/>
              <w:jc w:val="right"/>
            </w:pPr>
            <w:r>
              <w:rPr>
                <w:lang w:val="en-US"/>
              </w:rPr>
              <w:t>25</w:t>
            </w:r>
            <w:r w:rsidR="00D47A68">
              <w:t>5</w:t>
            </w:r>
          </w:p>
        </w:tc>
        <w:tc>
          <w:tcPr>
            <w:tcW w:w="1800" w:type="dxa"/>
            <w:tcBorders>
              <w:top w:val="single" w:sz="6" w:space="0" w:color="auto"/>
              <w:left w:val="single" w:sz="6" w:space="0" w:color="auto"/>
              <w:bottom w:val="single" w:sz="6" w:space="0" w:color="auto"/>
              <w:right w:val="single" w:sz="6" w:space="0" w:color="auto"/>
            </w:tcBorders>
          </w:tcPr>
          <w:p w:rsidR="00322C64" w:rsidRPr="008E37C7" w:rsidRDefault="008E37C7" w:rsidP="0071675D">
            <w:pPr>
              <w:spacing w:line="288" w:lineRule="auto"/>
              <w:jc w:val="right"/>
              <w:rPr>
                <w:lang w:val="en-US"/>
              </w:rPr>
            </w:pPr>
            <w:r>
              <w:rPr>
                <w:lang w:val="en-US"/>
              </w:rPr>
              <w:t>1.05</w:t>
            </w:r>
          </w:p>
        </w:tc>
      </w:tr>
    </w:tbl>
    <w:p w:rsidR="00322C64" w:rsidRPr="00002FDF" w:rsidRDefault="00322C64" w:rsidP="006F2A0E">
      <w:pPr>
        <w:spacing w:before="120" w:after="120"/>
        <w:ind w:firstLine="720"/>
        <w:jc w:val="both"/>
        <w:rPr>
          <w:lang w:val="en-US"/>
        </w:rPr>
      </w:pPr>
      <w:r w:rsidRPr="00002FDF">
        <w:lastRenderedPageBreak/>
        <w:t>От представените в таблицата за разходи данни се вижда, че увеличението на разходите се дължи основно на увеличение на разходите за възнаграждения и осигуровки на персонала</w:t>
      </w:r>
      <w:r w:rsidR="00746608" w:rsidRPr="00002FDF">
        <w:t xml:space="preserve">. </w:t>
      </w:r>
      <w:r w:rsidR="006F2A0E" w:rsidRPr="00002FDF">
        <w:rPr>
          <w:lang w:val="en-US"/>
        </w:rPr>
        <w:t>П</w:t>
      </w:r>
      <w:r w:rsidR="00AA0BA8" w:rsidRPr="00002FDF">
        <w:t>рез м.12.2015 год. са увеличени възнагражденията на всички служители с 20 лв., във връзка с това за 2016 год.  са у</w:t>
      </w:r>
      <w:r w:rsidR="006F2A0E" w:rsidRPr="00002FDF">
        <w:t>величени разходите за персонала</w:t>
      </w:r>
      <w:r w:rsidR="00AA0BA8" w:rsidRPr="00002FDF">
        <w:t xml:space="preserve">; </w:t>
      </w:r>
      <w:r w:rsidR="00746608" w:rsidRPr="00002FDF">
        <w:t>към 01.01.2016 год. са увеличени работните заплати на всички служители с основно възнаграждение равно</w:t>
      </w:r>
      <w:r w:rsidR="00AA0BA8" w:rsidRPr="00002FDF">
        <w:t xml:space="preserve"> на минималната работна заплата</w:t>
      </w:r>
      <w:r w:rsidR="00746608" w:rsidRPr="00002FDF">
        <w:t>, във връзка с това за 2016 год.  са увеличени разходите за персонала; през 2016 год. дружеството осъществява дейността си с минимум персонал, което води до увеличаване на: натовареността на медицинския персонал, задълженията за неизползвани отпуски и задълженията за допълнително положения труд.</w:t>
      </w:r>
    </w:p>
    <w:p w:rsidR="00322C64" w:rsidRPr="00C62311" w:rsidRDefault="001C7F69" w:rsidP="00DF6185">
      <w:pPr>
        <w:spacing w:before="120" w:after="120"/>
        <w:ind w:firstLine="720"/>
        <w:jc w:val="both"/>
        <w:rPr>
          <w:b/>
          <w:bCs/>
        </w:rPr>
      </w:pPr>
      <w:r>
        <w:rPr>
          <w:b/>
          <w:bCs/>
        </w:rPr>
        <w:t>Няма д</w:t>
      </w:r>
      <w:r w:rsidR="00EE757A">
        <w:rPr>
          <w:b/>
          <w:bCs/>
        </w:rPr>
        <w:t>оставчици на д</w:t>
      </w:r>
      <w:r w:rsidR="00EE757A" w:rsidRPr="00C62311">
        <w:rPr>
          <w:b/>
          <w:bCs/>
        </w:rPr>
        <w:t>ружеството</w:t>
      </w:r>
      <w:r w:rsidR="00EE757A">
        <w:rPr>
          <w:b/>
          <w:bCs/>
        </w:rPr>
        <w:t xml:space="preserve"> с относителен дял над 10%</w:t>
      </w:r>
      <w:r w:rsidR="00EE757A" w:rsidRPr="00C62311">
        <w:rPr>
          <w:b/>
          <w:bCs/>
        </w:rPr>
        <w:t xml:space="preserve"> </w:t>
      </w:r>
      <w:r w:rsidR="00EE757A">
        <w:rPr>
          <w:b/>
          <w:bCs/>
        </w:rPr>
        <w:t xml:space="preserve">от </w:t>
      </w:r>
      <w:r w:rsidR="00DF6185">
        <w:rPr>
          <w:b/>
          <w:bCs/>
        </w:rPr>
        <w:t>всички разходите</w:t>
      </w:r>
      <w:r w:rsidR="00EE757A">
        <w:rPr>
          <w:b/>
          <w:bCs/>
        </w:rPr>
        <w:t xml:space="preserve"> </w:t>
      </w:r>
      <w:r w:rsidR="00DF6185">
        <w:rPr>
          <w:b/>
          <w:bCs/>
        </w:rPr>
        <w:t>по Отчета за приходи и разходи</w:t>
      </w:r>
      <w:r>
        <w:rPr>
          <w:b/>
          <w:bCs/>
        </w:rPr>
        <w:t>.</w:t>
      </w:r>
    </w:p>
    <w:p w:rsidR="00AA0BA8" w:rsidRPr="00C62311" w:rsidRDefault="00AA0BA8" w:rsidP="00B8611C">
      <w:pPr>
        <w:spacing w:before="120" w:after="120"/>
        <w:jc w:val="both"/>
        <w:rPr>
          <w:b/>
          <w:bCs/>
        </w:rPr>
      </w:pPr>
      <w:r w:rsidRPr="00C62311">
        <w:rPr>
          <w:b/>
          <w:bCs/>
        </w:rPr>
        <w:tab/>
        <w:t>Направени инвестиции в Дълготрайни активи през 2016 год. спрямо 2015 год.</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3352"/>
        <w:gridCol w:w="1134"/>
        <w:gridCol w:w="1094"/>
        <w:gridCol w:w="1620"/>
        <w:gridCol w:w="1800"/>
      </w:tblGrid>
      <w:tr w:rsidR="00AA0BA8" w:rsidRPr="00C62311" w:rsidTr="00AA0BA8">
        <w:tc>
          <w:tcPr>
            <w:tcW w:w="468"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center"/>
            </w:pPr>
            <w:r w:rsidRPr="00C62311">
              <w:t>№</w:t>
            </w:r>
          </w:p>
        </w:tc>
        <w:tc>
          <w:tcPr>
            <w:tcW w:w="3352"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center"/>
            </w:pPr>
            <w:r w:rsidRPr="00C62311">
              <w:t>Наименование</w:t>
            </w:r>
          </w:p>
        </w:tc>
        <w:tc>
          <w:tcPr>
            <w:tcW w:w="1134"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center"/>
            </w:pPr>
            <w:r w:rsidRPr="00C62311">
              <w:t>2016 год.</w:t>
            </w:r>
          </w:p>
        </w:tc>
        <w:tc>
          <w:tcPr>
            <w:tcW w:w="1094"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center"/>
            </w:pPr>
            <w:r w:rsidRPr="00C62311">
              <w:t>2015 год.</w:t>
            </w:r>
          </w:p>
        </w:tc>
        <w:tc>
          <w:tcPr>
            <w:tcW w:w="1620"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center"/>
            </w:pPr>
            <w:r w:rsidRPr="00C62311">
              <w:t>Изменение сума</w:t>
            </w:r>
          </w:p>
        </w:tc>
        <w:tc>
          <w:tcPr>
            <w:tcW w:w="1800"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center"/>
            </w:pPr>
            <w:r w:rsidRPr="00C62311">
              <w:t>Относително изменение</w:t>
            </w:r>
          </w:p>
          <w:p w:rsidR="00AA0BA8" w:rsidRPr="00C62311" w:rsidRDefault="00AA0BA8" w:rsidP="0071675D">
            <w:pPr>
              <w:spacing w:line="288" w:lineRule="auto"/>
              <w:jc w:val="center"/>
            </w:pPr>
            <w:r w:rsidRPr="00C62311">
              <w:t>3:4</w:t>
            </w:r>
          </w:p>
        </w:tc>
      </w:tr>
      <w:tr w:rsidR="00AA0BA8" w:rsidRPr="00C62311" w:rsidTr="00AA0BA8">
        <w:tc>
          <w:tcPr>
            <w:tcW w:w="468"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center"/>
            </w:pPr>
            <w:r w:rsidRPr="00C62311">
              <w:t>1</w:t>
            </w:r>
          </w:p>
        </w:tc>
        <w:tc>
          <w:tcPr>
            <w:tcW w:w="3352"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center"/>
            </w:pPr>
            <w:r w:rsidRPr="00C62311">
              <w:t>2</w:t>
            </w:r>
          </w:p>
        </w:tc>
        <w:tc>
          <w:tcPr>
            <w:tcW w:w="1134"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center"/>
            </w:pPr>
            <w:r w:rsidRPr="00C62311">
              <w:t>3</w:t>
            </w:r>
          </w:p>
        </w:tc>
        <w:tc>
          <w:tcPr>
            <w:tcW w:w="1094"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center"/>
            </w:pPr>
            <w:r w:rsidRPr="00C62311">
              <w:t>4</w:t>
            </w:r>
          </w:p>
        </w:tc>
        <w:tc>
          <w:tcPr>
            <w:tcW w:w="1620"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center"/>
            </w:pPr>
            <w:r w:rsidRPr="00C62311">
              <w:t>5</w:t>
            </w:r>
          </w:p>
        </w:tc>
        <w:tc>
          <w:tcPr>
            <w:tcW w:w="1800"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center"/>
            </w:pPr>
            <w:r w:rsidRPr="00C62311">
              <w:t>6</w:t>
            </w:r>
          </w:p>
        </w:tc>
      </w:tr>
      <w:tr w:rsidR="00AA0BA8" w:rsidRPr="00C62311" w:rsidTr="00AA0BA8">
        <w:tc>
          <w:tcPr>
            <w:tcW w:w="468"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right"/>
            </w:pPr>
            <w:r w:rsidRPr="00C62311">
              <w:t>1.</w:t>
            </w:r>
          </w:p>
        </w:tc>
        <w:tc>
          <w:tcPr>
            <w:tcW w:w="3352"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pPr>
            <w:r w:rsidRPr="00C62311">
              <w:t>Подобрения на сгради</w:t>
            </w:r>
          </w:p>
        </w:tc>
        <w:tc>
          <w:tcPr>
            <w:tcW w:w="1134" w:type="dxa"/>
            <w:tcBorders>
              <w:top w:val="single" w:sz="6" w:space="0" w:color="auto"/>
              <w:left w:val="single" w:sz="6" w:space="0" w:color="auto"/>
              <w:bottom w:val="single" w:sz="6" w:space="0" w:color="auto"/>
              <w:right w:val="single" w:sz="6" w:space="0" w:color="auto"/>
            </w:tcBorders>
          </w:tcPr>
          <w:p w:rsidR="00AA0BA8" w:rsidRPr="00C62311" w:rsidRDefault="00002FDF" w:rsidP="0071675D">
            <w:pPr>
              <w:spacing w:line="288" w:lineRule="auto"/>
              <w:jc w:val="right"/>
            </w:pPr>
            <w:r w:rsidRPr="001F343B">
              <w:t>2</w:t>
            </w:r>
          </w:p>
        </w:tc>
        <w:tc>
          <w:tcPr>
            <w:tcW w:w="1094" w:type="dxa"/>
            <w:tcBorders>
              <w:top w:val="single" w:sz="6" w:space="0" w:color="auto"/>
              <w:left w:val="single" w:sz="6" w:space="0" w:color="auto"/>
              <w:bottom w:val="single" w:sz="6" w:space="0" w:color="auto"/>
              <w:right w:val="single" w:sz="6" w:space="0" w:color="auto"/>
            </w:tcBorders>
          </w:tcPr>
          <w:p w:rsidR="00AA0BA8" w:rsidRPr="00C62311" w:rsidRDefault="00127909" w:rsidP="0071675D">
            <w:pPr>
              <w:spacing w:line="288" w:lineRule="auto"/>
              <w:jc w:val="right"/>
            </w:pPr>
            <w:r>
              <w:t>5</w:t>
            </w:r>
          </w:p>
        </w:tc>
        <w:tc>
          <w:tcPr>
            <w:tcW w:w="1620" w:type="dxa"/>
            <w:tcBorders>
              <w:top w:val="single" w:sz="6" w:space="0" w:color="auto"/>
              <w:left w:val="single" w:sz="6" w:space="0" w:color="auto"/>
              <w:bottom w:val="single" w:sz="6" w:space="0" w:color="auto"/>
              <w:right w:val="single" w:sz="6" w:space="0" w:color="auto"/>
            </w:tcBorders>
          </w:tcPr>
          <w:p w:rsidR="00AA0BA8" w:rsidRPr="00C62311" w:rsidRDefault="00127909" w:rsidP="0071675D">
            <w:pPr>
              <w:spacing w:line="288" w:lineRule="auto"/>
              <w:jc w:val="right"/>
            </w:pPr>
            <w:r>
              <w:t>-3</w:t>
            </w:r>
          </w:p>
        </w:tc>
        <w:tc>
          <w:tcPr>
            <w:tcW w:w="1800" w:type="dxa"/>
            <w:tcBorders>
              <w:top w:val="single" w:sz="6" w:space="0" w:color="auto"/>
              <w:left w:val="single" w:sz="6" w:space="0" w:color="auto"/>
              <w:bottom w:val="single" w:sz="6" w:space="0" w:color="auto"/>
              <w:right w:val="single" w:sz="6" w:space="0" w:color="auto"/>
            </w:tcBorders>
          </w:tcPr>
          <w:p w:rsidR="00AA0BA8" w:rsidRPr="00C62311" w:rsidRDefault="00127909" w:rsidP="0071675D">
            <w:pPr>
              <w:spacing w:line="288" w:lineRule="auto"/>
              <w:jc w:val="right"/>
            </w:pPr>
            <w:r>
              <w:t>0,40</w:t>
            </w:r>
          </w:p>
        </w:tc>
      </w:tr>
      <w:tr w:rsidR="00AA0BA8" w:rsidRPr="00C62311" w:rsidTr="00AA0BA8">
        <w:tc>
          <w:tcPr>
            <w:tcW w:w="468"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jc w:val="right"/>
            </w:pPr>
            <w:r w:rsidRPr="00C62311">
              <w:t>2.</w:t>
            </w:r>
          </w:p>
        </w:tc>
        <w:tc>
          <w:tcPr>
            <w:tcW w:w="3352" w:type="dxa"/>
            <w:tcBorders>
              <w:top w:val="single" w:sz="6" w:space="0" w:color="auto"/>
              <w:left w:val="single" w:sz="6" w:space="0" w:color="auto"/>
              <w:bottom w:val="single" w:sz="6" w:space="0" w:color="auto"/>
              <w:right w:val="single" w:sz="6" w:space="0" w:color="auto"/>
            </w:tcBorders>
          </w:tcPr>
          <w:p w:rsidR="00AA0BA8" w:rsidRPr="00C62311" w:rsidRDefault="00AA0BA8" w:rsidP="0071675D">
            <w:pPr>
              <w:spacing w:line="288" w:lineRule="auto"/>
            </w:pPr>
            <w:r w:rsidRPr="00C62311">
              <w:t>Машини, производствено оборудване и апаратура</w:t>
            </w:r>
          </w:p>
        </w:tc>
        <w:tc>
          <w:tcPr>
            <w:tcW w:w="1134" w:type="dxa"/>
            <w:tcBorders>
              <w:top w:val="single" w:sz="6" w:space="0" w:color="auto"/>
              <w:left w:val="single" w:sz="6" w:space="0" w:color="auto"/>
              <w:bottom w:val="single" w:sz="6" w:space="0" w:color="auto"/>
              <w:right w:val="single" w:sz="6" w:space="0" w:color="auto"/>
            </w:tcBorders>
          </w:tcPr>
          <w:p w:rsidR="00AA0BA8" w:rsidRPr="00C62311" w:rsidRDefault="00002FDF" w:rsidP="0071675D">
            <w:pPr>
              <w:spacing w:line="288" w:lineRule="auto"/>
              <w:jc w:val="right"/>
            </w:pPr>
            <w:r>
              <w:t>63</w:t>
            </w:r>
          </w:p>
        </w:tc>
        <w:tc>
          <w:tcPr>
            <w:tcW w:w="1094" w:type="dxa"/>
            <w:tcBorders>
              <w:top w:val="single" w:sz="6" w:space="0" w:color="auto"/>
              <w:left w:val="single" w:sz="6" w:space="0" w:color="auto"/>
              <w:bottom w:val="single" w:sz="6" w:space="0" w:color="auto"/>
              <w:right w:val="single" w:sz="6" w:space="0" w:color="auto"/>
            </w:tcBorders>
          </w:tcPr>
          <w:p w:rsidR="00AA0BA8" w:rsidRPr="00C62311" w:rsidRDefault="00127909" w:rsidP="0071675D">
            <w:pPr>
              <w:spacing w:line="288" w:lineRule="auto"/>
              <w:jc w:val="right"/>
            </w:pPr>
            <w:r>
              <w:t>89</w:t>
            </w:r>
          </w:p>
        </w:tc>
        <w:tc>
          <w:tcPr>
            <w:tcW w:w="1620" w:type="dxa"/>
            <w:tcBorders>
              <w:top w:val="single" w:sz="6" w:space="0" w:color="auto"/>
              <w:left w:val="single" w:sz="6" w:space="0" w:color="auto"/>
              <w:bottom w:val="single" w:sz="6" w:space="0" w:color="auto"/>
              <w:right w:val="single" w:sz="6" w:space="0" w:color="auto"/>
            </w:tcBorders>
          </w:tcPr>
          <w:p w:rsidR="00AA0BA8" w:rsidRPr="00C62311" w:rsidRDefault="00127909" w:rsidP="0071675D">
            <w:pPr>
              <w:spacing w:line="288" w:lineRule="auto"/>
              <w:jc w:val="right"/>
            </w:pPr>
            <w:r>
              <w:t>-26</w:t>
            </w:r>
          </w:p>
        </w:tc>
        <w:tc>
          <w:tcPr>
            <w:tcW w:w="1800" w:type="dxa"/>
            <w:tcBorders>
              <w:top w:val="single" w:sz="6" w:space="0" w:color="auto"/>
              <w:left w:val="single" w:sz="6" w:space="0" w:color="auto"/>
              <w:bottom w:val="single" w:sz="6" w:space="0" w:color="auto"/>
              <w:right w:val="single" w:sz="6" w:space="0" w:color="auto"/>
            </w:tcBorders>
          </w:tcPr>
          <w:p w:rsidR="00AA0BA8" w:rsidRPr="00C62311" w:rsidRDefault="00127909" w:rsidP="0071675D">
            <w:pPr>
              <w:spacing w:line="288" w:lineRule="auto"/>
              <w:jc w:val="right"/>
            </w:pPr>
            <w:r>
              <w:t>0,71</w:t>
            </w:r>
          </w:p>
        </w:tc>
      </w:tr>
      <w:tr w:rsidR="00D47A68" w:rsidRPr="00C62311" w:rsidTr="00AA0BA8">
        <w:tc>
          <w:tcPr>
            <w:tcW w:w="468" w:type="dxa"/>
            <w:tcBorders>
              <w:top w:val="single" w:sz="6" w:space="0" w:color="auto"/>
              <w:left w:val="single" w:sz="6" w:space="0" w:color="auto"/>
              <w:bottom w:val="single" w:sz="6" w:space="0" w:color="auto"/>
              <w:right w:val="single" w:sz="6" w:space="0" w:color="auto"/>
            </w:tcBorders>
          </w:tcPr>
          <w:p w:rsidR="00D47A68" w:rsidRPr="00C62311" w:rsidRDefault="00D47A68" w:rsidP="0071675D">
            <w:pPr>
              <w:spacing w:line="288" w:lineRule="auto"/>
              <w:jc w:val="right"/>
            </w:pPr>
            <w:r>
              <w:t>3</w:t>
            </w:r>
            <w:r w:rsidRPr="00C62311">
              <w:t>.</w:t>
            </w:r>
          </w:p>
        </w:tc>
        <w:tc>
          <w:tcPr>
            <w:tcW w:w="3352" w:type="dxa"/>
            <w:tcBorders>
              <w:top w:val="single" w:sz="6" w:space="0" w:color="auto"/>
              <w:left w:val="single" w:sz="6" w:space="0" w:color="auto"/>
              <w:bottom w:val="single" w:sz="6" w:space="0" w:color="auto"/>
              <w:right w:val="single" w:sz="6" w:space="0" w:color="auto"/>
            </w:tcBorders>
          </w:tcPr>
          <w:p w:rsidR="00D47A68" w:rsidRPr="00C62311" w:rsidRDefault="00D47A68" w:rsidP="0071675D">
            <w:pPr>
              <w:spacing w:line="288" w:lineRule="auto"/>
            </w:pPr>
            <w:r w:rsidRPr="00C62311">
              <w:t>Други</w:t>
            </w:r>
          </w:p>
        </w:tc>
        <w:tc>
          <w:tcPr>
            <w:tcW w:w="1134" w:type="dxa"/>
            <w:tcBorders>
              <w:top w:val="single" w:sz="6" w:space="0" w:color="auto"/>
              <w:left w:val="single" w:sz="6" w:space="0" w:color="auto"/>
              <w:bottom w:val="single" w:sz="6" w:space="0" w:color="auto"/>
              <w:right w:val="single" w:sz="6" w:space="0" w:color="auto"/>
            </w:tcBorders>
          </w:tcPr>
          <w:p w:rsidR="00D47A68" w:rsidRPr="00C62311" w:rsidRDefault="00D47A68" w:rsidP="0071675D">
            <w:pPr>
              <w:spacing w:line="288" w:lineRule="auto"/>
              <w:jc w:val="right"/>
            </w:pPr>
            <w:r>
              <w:t>11</w:t>
            </w:r>
          </w:p>
        </w:tc>
        <w:tc>
          <w:tcPr>
            <w:tcW w:w="1094" w:type="dxa"/>
            <w:tcBorders>
              <w:top w:val="single" w:sz="6" w:space="0" w:color="auto"/>
              <w:left w:val="single" w:sz="6" w:space="0" w:color="auto"/>
              <w:bottom w:val="single" w:sz="6" w:space="0" w:color="auto"/>
              <w:right w:val="single" w:sz="6" w:space="0" w:color="auto"/>
            </w:tcBorders>
          </w:tcPr>
          <w:p w:rsidR="00D47A68" w:rsidRPr="00C62311" w:rsidRDefault="00D47A68" w:rsidP="0071675D">
            <w:pPr>
              <w:spacing w:line="288" w:lineRule="auto"/>
              <w:jc w:val="right"/>
            </w:pPr>
            <w:r>
              <w:t>8</w:t>
            </w:r>
          </w:p>
        </w:tc>
        <w:tc>
          <w:tcPr>
            <w:tcW w:w="1620" w:type="dxa"/>
            <w:tcBorders>
              <w:top w:val="single" w:sz="6" w:space="0" w:color="auto"/>
              <w:left w:val="single" w:sz="6" w:space="0" w:color="auto"/>
              <w:bottom w:val="single" w:sz="6" w:space="0" w:color="auto"/>
              <w:right w:val="single" w:sz="6" w:space="0" w:color="auto"/>
            </w:tcBorders>
          </w:tcPr>
          <w:p w:rsidR="00D47A68" w:rsidRPr="00C62311" w:rsidRDefault="00D47A68" w:rsidP="0071675D">
            <w:pPr>
              <w:spacing w:line="288" w:lineRule="auto"/>
              <w:jc w:val="right"/>
            </w:pPr>
            <w:r>
              <w:t>3</w:t>
            </w:r>
          </w:p>
        </w:tc>
        <w:tc>
          <w:tcPr>
            <w:tcW w:w="1800" w:type="dxa"/>
            <w:tcBorders>
              <w:top w:val="single" w:sz="6" w:space="0" w:color="auto"/>
              <w:left w:val="single" w:sz="6" w:space="0" w:color="auto"/>
              <w:bottom w:val="single" w:sz="6" w:space="0" w:color="auto"/>
              <w:right w:val="single" w:sz="6" w:space="0" w:color="auto"/>
            </w:tcBorders>
          </w:tcPr>
          <w:p w:rsidR="00D47A68" w:rsidRPr="00C62311" w:rsidRDefault="00D47A68" w:rsidP="00D47A68">
            <w:pPr>
              <w:spacing w:line="288" w:lineRule="auto"/>
              <w:jc w:val="right"/>
            </w:pPr>
            <w:r>
              <w:t>1,37</w:t>
            </w:r>
          </w:p>
        </w:tc>
      </w:tr>
      <w:tr w:rsidR="00D47A68" w:rsidRPr="00C62311" w:rsidTr="00AA0BA8">
        <w:tc>
          <w:tcPr>
            <w:tcW w:w="468" w:type="dxa"/>
            <w:tcBorders>
              <w:top w:val="single" w:sz="6" w:space="0" w:color="auto"/>
              <w:left w:val="single" w:sz="6" w:space="0" w:color="auto"/>
              <w:bottom w:val="single" w:sz="6" w:space="0" w:color="auto"/>
              <w:right w:val="single" w:sz="6" w:space="0" w:color="auto"/>
            </w:tcBorders>
          </w:tcPr>
          <w:p w:rsidR="00D47A68" w:rsidRPr="00C62311" w:rsidRDefault="00D47A68" w:rsidP="0071675D">
            <w:pPr>
              <w:spacing w:line="288" w:lineRule="auto"/>
              <w:jc w:val="right"/>
            </w:pPr>
            <w:r>
              <w:t>4</w:t>
            </w:r>
            <w:r w:rsidRPr="00C62311">
              <w:t>.</w:t>
            </w:r>
          </w:p>
        </w:tc>
        <w:tc>
          <w:tcPr>
            <w:tcW w:w="3352" w:type="dxa"/>
            <w:tcBorders>
              <w:top w:val="single" w:sz="6" w:space="0" w:color="auto"/>
              <w:left w:val="single" w:sz="6" w:space="0" w:color="auto"/>
              <w:bottom w:val="single" w:sz="6" w:space="0" w:color="auto"/>
              <w:right w:val="single" w:sz="6" w:space="0" w:color="auto"/>
            </w:tcBorders>
          </w:tcPr>
          <w:p w:rsidR="00D47A68" w:rsidRPr="00C62311" w:rsidRDefault="00D47A68" w:rsidP="0071675D">
            <w:pPr>
              <w:spacing w:line="288" w:lineRule="auto"/>
            </w:pPr>
            <w:r w:rsidRPr="00C62311">
              <w:t>Дълготрайни нематериални  активи</w:t>
            </w:r>
          </w:p>
        </w:tc>
        <w:tc>
          <w:tcPr>
            <w:tcW w:w="1134" w:type="dxa"/>
            <w:tcBorders>
              <w:top w:val="single" w:sz="6" w:space="0" w:color="auto"/>
              <w:left w:val="single" w:sz="6" w:space="0" w:color="auto"/>
              <w:bottom w:val="single" w:sz="6" w:space="0" w:color="auto"/>
              <w:right w:val="single" w:sz="6" w:space="0" w:color="auto"/>
            </w:tcBorders>
          </w:tcPr>
          <w:p w:rsidR="00D47A68" w:rsidRPr="001F343B" w:rsidRDefault="00D47A68" w:rsidP="0071675D">
            <w:pPr>
              <w:spacing w:line="288" w:lineRule="auto"/>
              <w:jc w:val="right"/>
            </w:pPr>
            <w:r w:rsidRPr="001F343B">
              <w:t>103</w:t>
            </w:r>
          </w:p>
        </w:tc>
        <w:tc>
          <w:tcPr>
            <w:tcW w:w="1094" w:type="dxa"/>
            <w:tcBorders>
              <w:top w:val="single" w:sz="6" w:space="0" w:color="auto"/>
              <w:left w:val="single" w:sz="6" w:space="0" w:color="auto"/>
              <w:bottom w:val="single" w:sz="6" w:space="0" w:color="auto"/>
              <w:right w:val="single" w:sz="6" w:space="0" w:color="auto"/>
            </w:tcBorders>
          </w:tcPr>
          <w:p w:rsidR="00D47A68" w:rsidRPr="001F343B" w:rsidRDefault="00D47A68" w:rsidP="0071675D">
            <w:pPr>
              <w:spacing w:line="288" w:lineRule="auto"/>
              <w:jc w:val="right"/>
            </w:pPr>
            <w:r w:rsidRPr="001F343B">
              <w:t>3</w:t>
            </w:r>
          </w:p>
        </w:tc>
        <w:tc>
          <w:tcPr>
            <w:tcW w:w="1620" w:type="dxa"/>
            <w:tcBorders>
              <w:top w:val="single" w:sz="6" w:space="0" w:color="auto"/>
              <w:left w:val="single" w:sz="6" w:space="0" w:color="auto"/>
              <w:bottom w:val="single" w:sz="6" w:space="0" w:color="auto"/>
              <w:right w:val="single" w:sz="6" w:space="0" w:color="auto"/>
            </w:tcBorders>
          </w:tcPr>
          <w:p w:rsidR="00D47A68" w:rsidRPr="00C62311" w:rsidRDefault="00D47A68" w:rsidP="0071675D">
            <w:pPr>
              <w:spacing w:line="288" w:lineRule="auto"/>
              <w:jc w:val="right"/>
            </w:pPr>
            <w:r>
              <w:t>100</w:t>
            </w:r>
          </w:p>
        </w:tc>
        <w:tc>
          <w:tcPr>
            <w:tcW w:w="1800" w:type="dxa"/>
            <w:tcBorders>
              <w:top w:val="single" w:sz="6" w:space="0" w:color="auto"/>
              <w:left w:val="single" w:sz="6" w:space="0" w:color="auto"/>
              <w:bottom w:val="single" w:sz="6" w:space="0" w:color="auto"/>
              <w:right w:val="single" w:sz="6" w:space="0" w:color="auto"/>
            </w:tcBorders>
          </w:tcPr>
          <w:p w:rsidR="00D47A68" w:rsidRPr="00C62311" w:rsidRDefault="00D47A68" w:rsidP="0071675D">
            <w:pPr>
              <w:spacing w:line="288" w:lineRule="auto"/>
              <w:jc w:val="right"/>
            </w:pPr>
            <w:r>
              <w:t>34,33</w:t>
            </w:r>
          </w:p>
        </w:tc>
      </w:tr>
      <w:tr w:rsidR="00D47A68" w:rsidRPr="00C62311" w:rsidTr="00AA0BA8">
        <w:tc>
          <w:tcPr>
            <w:tcW w:w="468" w:type="dxa"/>
            <w:tcBorders>
              <w:top w:val="single" w:sz="6" w:space="0" w:color="auto"/>
              <w:left w:val="single" w:sz="6" w:space="0" w:color="auto"/>
              <w:bottom w:val="single" w:sz="6" w:space="0" w:color="auto"/>
              <w:right w:val="single" w:sz="6" w:space="0" w:color="auto"/>
            </w:tcBorders>
          </w:tcPr>
          <w:p w:rsidR="00D47A68" w:rsidRPr="00C62311" w:rsidRDefault="00D47A68" w:rsidP="0071675D">
            <w:pPr>
              <w:spacing w:line="288" w:lineRule="auto"/>
              <w:jc w:val="right"/>
            </w:pPr>
            <w:r>
              <w:t>5</w:t>
            </w:r>
            <w:r w:rsidRPr="00C62311">
              <w:t>.</w:t>
            </w:r>
          </w:p>
        </w:tc>
        <w:tc>
          <w:tcPr>
            <w:tcW w:w="3352" w:type="dxa"/>
            <w:tcBorders>
              <w:top w:val="single" w:sz="6" w:space="0" w:color="auto"/>
              <w:left w:val="single" w:sz="6" w:space="0" w:color="auto"/>
              <w:bottom w:val="single" w:sz="6" w:space="0" w:color="auto"/>
              <w:right w:val="single" w:sz="6" w:space="0" w:color="auto"/>
            </w:tcBorders>
          </w:tcPr>
          <w:p w:rsidR="00D47A68" w:rsidRPr="00C62311" w:rsidRDefault="00D47A68" w:rsidP="0071675D">
            <w:pPr>
              <w:spacing w:line="288" w:lineRule="auto"/>
            </w:pPr>
            <w:r w:rsidRPr="00C62311">
              <w:t>Разходи за придобиване на ДА</w:t>
            </w:r>
          </w:p>
        </w:tc>
        <w:tc>
          <w:tcPr>
            <w:tcW w:w="1134" w:type="dxa"/>
            <w:tcBorders>
              <w:top w:val="single" w:sz="6" w:space="0" w:color="auto"/>
              <w:left w:val="single" w:sz="6" w:space="0" w:color="auto"/>
              <w:bottom w:val="single" w:sz="6" w:space="0" w:color="auto"/>
              <w:right w:val="single" w:sz="6" w:space="0" w:color="auto"/>
            </w:tcBorders>
          </w:tcPr>
          <w:p w:rsidR="00D47A68" w:rsidRPr="00205BBD" w:rsidRDefault="003410B4" w:rsidP="0071675D">
            <w:pPr>
              <w:spacing w:line="288" w:lineRule="auto"/>
              <w:jc w:val="right"/>
              <w:rPr>
                <w:lang w:val="en-US"/>
              </w:rPr>
            </w:pPr>
            <w:r w:rsidRPr="00205BBD">
              <w:rPr>
                <w:lang w:val="en-US"/>
              </w:rPr>
              <w:t>3</w:t>
            </w:r>
          </w:p>
        </w:tc>
        <w:tc>
          <w:tcPr>
            <w:tcW w:w="1094" w:type="dxa"/>
            <w:tcBorders>
              <w:top w:val="single" w:sz="6" w:space="0" w:color="auto"/>
              <w:left w:val="single" w:sz="6" w:space="0" w:color="auto"/>
              <w:bottom w:val="single" w:sz="6" w:space="0" w:color="auto"/>
              <w:right w:val="single" w:sz="6" w:space="0" w:color="auto"/>
            </w:tcBorders>
          </w:tcPr>
          <w:p w:rsidR="00D47A68" w:rsidRPr="00205BBD" w:rsidRDefault="00D47A68" w:rsidP="003410B4">
            <w:pPr>
              <w:spacing w:line="288" w:lineRule="auto"/>
              <w:jc w:val="right"/>
              <w:rPr>
                <w:lang w:val="en-US"/>
              </w:rPr>
            </w:pPr>
            <w:r w:rsidRPr="00205BBD">
              <w:t>2</w:t>
            </w:r>
            <w:r w:rsidR="003410B4" w:rsidRPr="00205BBD">
              <w:rPr>
                <w:lang w:val="en-US"/>
              </w:rPr>
              <w:t>2</w:t>
            </w:r>
          </w:p>
        </w:tc>
        <w:tc>
          <w:tcPr>
            <w:tcW w:w="1620" w:type="dxa"/>
            <w:tcBorders>
              <w:top w:val="single" w:sz="6" w:space="0" w:color="auto"/>
              <w:left w:val="single" w:sz="6" w:space="0" w:color="auto"/>
              <w:bottom w:val="single" w:sz="6" w:space="0" w:color="auto"/>
              <w:right w:val="single" w:sz="6" w:space="0" w:color="auto"/>
            </w:tcBorders>
          </w:tcPr>
          <w:p w:rsidR="00D47A68" w:rsidRPr="001F343B" w:rsidRDefault="003410B4" w:rsidP="00D47A68">
            <w:pPr>
              <w:spacing w:line="288" w:lineRule="auto"/>
              <w:jc w:val="right"/>
              <w:rPr>
                <w:lang w:val="en-US"/>
              </w:rPr>
            </w:pPr>
            <w:r>
              <w:t>-19</w:t>
            </w:r>
          </w:p>
        </w:tc>
        <w:tc>
          <w:tcPr>
            <w:tcW w:w="1800" w:type="dxa"/>
            <w:tcBorders>
              <w:top w:val="single" w:sz="6" w:space="0" w:color="auto"/>
              <w:left w:val="single" w:sz="6" w:space="0" w:color="auto"/>
              <w:bottom w:val="single" w:sz="6" w:space="0" w:color="auto"/>
              <w:right w:val="single" w:sz="6" w:space="0" w:color="auto"/>
            </w:tcBorders>
          </w:tcPr>
          <w:p w:rsidR="00D47A68" w:rsidRPr="001F343B" w:rsidRDefault="003410B4" w:rsidP="00D47A68">
            <w:pPr>
              <w:spacing w:line="288" w:lineRule="auto"/>
              <w:jc w:val="right"/>
              <w:rPr>
                <w:lang w:val="en-US"/>
              </w:rPr>
            </w:pPr>
            <w:r>
              <w:t>0,14</w:t>
            </w:r>
          </w:p>
        </w:tc>
      </w:tr>
    </w:tbl>
    <w:p w:rsidR="00801FE1" w:rsidRPr="00C62311" w:rsidRDefault="00AA0BA8" w:rsidP="00D47A68">
      <w:pPr>
        <w:spacing w:before="120" w:after="120"/>
        <w:jc w:val="both"/>
        <w:rPr>
          <w:b/>
          <w:bCs/>
        </w:rPr>
      </w:pPr>
      <w:r w:rsidRPr="00C62311">
        <w:rPr>
          <w:b/>
          <w:bCs/>
        </w:rPr>
        <w:tab/>
      </w:r>
      <w:r w:rsidRPr="00C62311">
        <w:rPr>
          <w:b/>
          <w:bCs/>
          <w:i/>
          <w:iCs/>
        </w:rPr>
        <w:t>Придобити активи със собствени средства</w:t>
      </w:r>
      <w:r w:rsidRPr="00C62311">
        <w:rPr>
          <w:b/>
          <w:bCs/>
        </w:rPr>
        <w:t>:</w:t>
      </w:r>
    </w:p>
    <w:tbl>
      <w:tblPr>
        <w:tblW w:w="7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
        <w:gridCol w:w="5247"/>
        <w:gridCol w:w="1775"/>
      </w:tblGrid>
      <w:tr w:rsidR="00AD57D4" w:rsidRPr="00C62311" w:rsidTr="00AD57D4">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center"/>
            </w:pPr>
            <w:r w:rsidRPr="00C62311">
              <w:t>№</w:t>
            </w:r>
          </w:p>
        </w:tc>
        <w:tc>
          <w:tcPr>
            <w:tcW w:w="5247"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center"/>
            </w:pPr>
            <w:r w:rsidRPr="00C62311">
              <w:t>Наименование</w:t>
            </w:r>
          </w:p>
        </w:tc>
        <w:tc>
          <w:tcPr>
            <w:tcW w:w="1775"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center"/>
            </w:pPr>
            <w:r w:rsidRPr="00C62311">
              <w:t>Стойност</w:t>
            </w:r>
          </w:p>
        </w:tc>
      </w:tr>
      <w:tr w:rsidR="00AD57D4" w:rsidRPr="00C62311" w:rsidTr="00AD57D4">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center"/>
            </w:pPr>
            <w:r w:rsidRPr="00C62311">
              <w:t>1</w:t>
            </w:r>
          </w:p>
        </w:tc>
        <w:tc>
          <w:tcPr>
            <w:tcW w:w="5247"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center"/>
            </w:pPr>
            <w:r w:rsidRPr="00C62311">
              <w:t>2</w:t>
            </w:r>
          </w:p>
        </w:tc>
        <w:tc>
          <w:tcPr>
            <w:tcW w:w="1775"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center"/>
            </w:pPr>
            <w:r w:rsidRPr="00C62311">
              <w:t>3</w:t>
            </w:r>
          </w:p>
        </w:tc>
      </w:tr>
      <w:tr w:rsidR="00AD57D4" w:rsidRPr="00C62311" w:rsidTr="00AD57D4">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right"/>
            </w:pPr>
            <w:r w:rsidRPr="00C62311">
              <w:t>1.</w:t>
            </w:r>
          </w:p>
        </w:tc>
        <w:tc>
          <w:tcPr>
            <w:tcW w:w="5247" w:type="dxa"/>
            <w:tcBorders>
              <w:top w:val="single" w:sz="6" w:space="0" w:color="auto"/>
              <w:left w:val="single" w:sz="6" w:space="0" w:color="auto"/>
              <w:bottom w:val="single" w:sz="6" w:space="0" w:color="auto"/>
              <w:right w:val="single" w:sz="6" w:space="0" w:color="auto"/>
            </w:tcBorders>
          </w:tcPr>
          <w:p w:rsidR="00AD57D4" w:rsidRPr="000846F5" w:rsidRDefault="00377292" w:rsidP="0071675D">
            <w:pPr>
              <w:spacing w:line="288" w:lineRule="auto"/>
            </w:pPr>
            <w:r>
              <w:t>Ч</w:t>
            </w:r>
            <w:r w:rsidR="000846F5" w:rsidRPr="000846F5">
              <w:t>астично реновиране на сградата</w:t>
            </w:r>
          </w:p>
        </w:tc>
        <w:tc>
          <w:tcPr>
            <w:tcW w:w="1775" w:type="dxa"/>
            <w:tcBorders>
              <w:top w:val="single" w:sz="6" w:space="0" w:color="auto"/>
              <w:left w:val="single" w:sz="6" w:space="0" w:color="auto"/>
              <w:bottom w:val="single" w:sz="6" w:space="0" w:color="auto"/>
              <w:right w:val="single" w:sz="6" w:space="0" w:color="auto"/>
            </w:tcBorders>
          </w:tcPr>
          <w:p w:rsidR="00AD57D4" w:rsidRPr="00C62311" w:rsidRDefault="000846F5" w:rsidP="0071675D">
            <w:pPr>
              <w:spacing w:line="288" w:lineRule="auto"/>
              <w:jc w:val="right"/>
            </w:pPr>
            <w:r>
              <w:t>2</w:t>
            </w:r>
          </w:p>
        </w:tc>
      </w:tr>
      <w:tr w:rsidR="00AD57D4" w:rsidRPr="00C62311" w:rsidTr="00AD57D4">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right"/>
            </w:pPr>
            <w:r w:rsidRPr="00C62311">
              <w:t>2.</w:t>
            </w:r>
          </w:p>
        </w:tc>
        <w:tc>
          <w:tcPr>
            <w:tcW w:w="5247" w:type="dxa"/>
            <w:tcBorders>
              <w:top w:val="single" w:sz="6" w:space="0" w:color="auto"/>
              <w:left w:val="single" w:sz="6" w:space="0" w:color="auto"/>
              <w:bottom w:val="single" w:sz="6" w:space="0" w:color="auto"/>
              <w:right w:val="single" w:sz="6" w:space="0" w:color="auto"/>
            </w:tcBorders>
          </w:tcPr>
          <w:p w:rsidR="00AD57D4" w:rsidRPr="000846F5" w:rsidRDefault="00377292" w:rsidP="0071675D">
            <w:pPr>
              <w:spacing w:line="288" w:lineRule="auto"/>
            </w:pPr>
            <w:r>
              <w:t>Ц</w:t>
            </w:r>
            <w:r w:rsidR="000846F5" w:rsidRPr="000846F5">
              <w:t>ентрофуги с ротор за Клинична лаборатория</w:t>
            </w:r>
          </w:p>
        </w:tc>
        <w:tc>
          <w:tcPr>
            <w:tcW w:w="1775" w:type="dxa"/>
            <w:tcBorders>
              <w:top w:val="single" w:sz="6" w:space="0" w:color="auto"/>
              <w:left w:val="single" w:sz="6" w:space="0" w:color="auto"/>
              <w:bottom w:val="single" w:sz="6" w:space="0" w:color="auto"/>
              <w:right w:val="single" w:sz="6" w:space="0" w:color="auto"/>
            </w:tcBorders>
          </w:tcPr>
          <w:p w:rsidR="00AD57D4" w:rsidRPr="00C62311" w:rsidRDefault="000846F5" w:rsidP="0071675D">
            <w:pPr>
              <w:spacing w:line="288" w:lineRule="auto"/>
              <w:jc w:val="right"/>
            </w:pPr>
            <w:r>
              <w:t>2</w:t>
            </w:r>
          </w:p>
        </w:tc>
      </w:tr>
      <w:tr w:rsidR="00AD57D4" w:rsidRPr="00C62311" w:rsidTr="00AD57D4">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right"/>
            </w:pPr>
            <w:r w:rsidRPr="00C62311">
              <w:t>3.</w:t>
            </w:r>
          </w:p>
        </w:tc>
        <w:tc>
          <w:tcPr>
            <w:tcW w:w="5247" w:type="dxa"/>
            <w:tcBorders>
              <w:top w:val="single" w:sz="6" w:space="0" w:color="auto"/>
              <w:left w:val="single" w:sz="6" w:space="0" w:color="auto"/>
              <w:bottom w:val="single" w:sz="6" w:space="0" w:color="auto"/>
              <w:right w:val="single" w:sz="6" w:space="0" w:color="auto"/>
            </w:tcBorders>
          </w:tcPr>
          <w:p w:rsidR="00AD57D4" w:rsidRPr="000846F5" w:rsidRDefault="000846F5" w:rsidP="0071675D">
            <w:pPr>
              <w:spacing w:line="288" w:lineRule="auto"/>
            </w:pPr>
            <w:r w:rsidRPr="000846F5">
              <w:t>Граспер форцепс за Гинекологично отделение</w:t>
            </w:r>
          </w:p>
        </w:tc>
        <w:tc>
          <w:tcPr>
            <w:tcW w:w="1775" w:type="dxa"/>
            <w:tcBorders>
              <w:top w:val="single" w:sz="6" w:space="0" w:color="auto"/>
              <w:left w:val="single" w:sz="6" w:space="0" w:color="auto"/>
              <w:bottom w:val="single" w:sz="6" w:space="0" w:color="auto"/>
              <w:right w:val="single" w:sz="6" w:space="0" w:color="auto"/>
            </w:tcBorders>
          </w:tcPr>
          <w:p w:rsidR="00AD57D4" w:rsidRPr="00C62311" w:rsidRDefault="000846F5" w:rsidP="0071675D">
            <w:pPr>
              <w:spacing w:line="288" w:lineRule="auto"/>
              <w:jc w:val="right"/>
            </w:pPr>
            <w:r>
              <w:t>1</w:t>
            </w:r>
          </w:p>
        </w:tc>
      </w:tr>
      <w:tr w:rsidR="00AD57D4" w:rsidRPr="00C62311" w:rsidTr="00AD57D4">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right"/>
            </w:pPr>
            <w:r w:rsidRPr="00C62311">
              <w:t>4.</w:t>
            </w:r>
          </w:p>
        </w:tc>
        <w:tc>
          <w:tcPr>
            <w:tcW w:w="5247" w:type="dxa"/>
            <w:tcBorders>
              <w:top w:val="single" w:sz="6" w:space="0" w:color="auto"/>
              <w:left w:val="single" w:sz="6" w:space="0" w:color="auto"/>
              <w:bottom w:val="single" w:sz="6" w:space="0" w:color="auto"/>
              <w:right w:val="single" w:sz="6" w:space="0" w:color="auto"/>
            </w:tcBorders>
          </w:tcPr>
          <w:p w:rsidR="00AD57D4" w:rsidRPr="000846F5" w:rsidRDefault="00377292" w:rsidP="0071675D">
            <w:pPr>
              <w:spacing w:line="288" w:lineRule="auto"/>
            </w:pPr>
            <w:r>
              <w:t>К</w:t>
            </w:r>
            <w:r w:rsidR="000846F5" w:rsidRPr="000846F5">
              <w:t>лиматици</w:t>
            </w:r>
          </w:p>
        </w:tc>
        <w:tc>
          <w:tcPr>
            <w:tcW w:w="1775" w:type="dxa"/>
            <w:tcBorders>
              <w:top w:val="single" w:sz="6" w:space="0" w:color="auto"/>
              <w:left w:val="single" w:sz="6" w:space="0" w:color="auto"/>
              <w:bottom w:val="single" w:sz="6" w:space="0" w:color="auto"/>
              <w:right w:val="single" w:sz="6" w:space="0" w:color="auto"/>
            </w:tcBorders>
          </w:tcPr>
          <w:p w:rsidR="00AD57D4" w:rsidRPr="00C62311" w:rsidRDefault="000846F5" w:rsidP="0071675D">
            <w:pPr>
              <w:spacing w:line="288" w:lineRule="auto"/>
              <w:jc w:val="right"/>
            </w:pPr>
            <w:r>
              <w:t>7</w:t>
            </w:r>
          </w:p>
        </w:tc>
      </w:tr>
      <w:tr w:rsidR="00AD57D4" w:rsidRPr="00C62311" w:rsidTr="00AD57D4">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right"/>
            </w:pPr>
            <w:r w:rsidRPr="00C62311">
              <w:t>5.</w:t>
            </w:r>
          </w:p>
        </w:tc>
        <w:tc>
          <w:tcPr>
            <w:tcW w:w="5247" w:type="dxa"/>
            <w:tcBorders>
              <w:top w:val="single" w:sz="6" w:space="0" w:color="auto"/>
              <w:left w:val="single" w:sz="6" w:space="0" w:color="auto"/>
              <w:bottom w:val="single" w:sz="6" w:space="0" w:color="auto"/>
              <w:right w:val="single" w:sz="6" w:space="0" w:color="auto"/>
            </w:tcBorders>
          </w:tcPr>
          <w:p w:rsidR="00AD57D4" w:rsidRPr="000846F5" w:rsidRDefault="00377292" w:rsidP="0071675D">
            <w:pPr>
              <w:spacing w:line="288" w:lineRule="auto"/>
            </w:pPr>
            <w:r>
              <w:t>Пералня</w:t>
            </w:r>
            <w:r w:rsidR="000846F5" w:rsidRPr="000846F5">
              <w:t xml:space="preserve"> 1 бр</w:t>
            </w:r>
          </w:p>
        </w:tc>
        <w:tc>
          <w:tcPr>
            <w:tcW w:w="1775" w:type="dxa"/>
            <w:tcBorders>
              <w:top w:val="single" w:sz="6" w:space="0" w:color="auto"/>
              <w:left w:val="single" w:sz="6" w:space="0" w:color="auto"/>
              <w:bottom w:val="single" w:sz="6" w:space="0" w:color="auto"/>
              <w:right w:val="single" w:sz="6" w:space="0" w:color="auto"/>
            </w:tcBorders>
          </w:tcPr>
          <w:p w:rsidR="00AD57D4" w:rsidRPr="000846F5" w:rsidRDefault="000846F5" w:rsidP="0071675D">
            <w:pPr>
              <w:spacing w:line="288" w:lineRule="auto"/>
              <w:jc w:val="right"/>
            </w:pPr>
            <w:r>
              <w:t>1</w:t>
            </w:r>
          </w:p>
        </w:tc>
      </w:tr>
      <w:tr w:rsidR="00AD57D4" w:rsidRPr="00C62311" w:rsidTr="00AD57D4">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right"/>
            </w:pPr>
            <w:r w:rsidRPr="00C62311">
              <w:t>6.</w:t>
            </w:r>
          </w:p>
        </w:tc>
        <w:tc>
          <w:tcPr>
            <w:tcW w:w="5247" w:type="dxa"/>
            <w:tcBorders>
              <w:top w:val="single" w:sz="6" w:space="0" w:color="auto"/>
              <w:left w:val="single" w:sz="6" w:space="0" w:color="auto"/>
              <w:bottom w:val="single" w:sz="6" w:space="0" w:color="auto"/>
              <w:right w:val="single" w:sz="6" w:space="0" w:color="auto"/>
            </w:tcBorders>
          </w:tcPr>
          <w:p w:rsidR="00AD57D4" w:rsidRPr="00C62311" w:rsidRDefault="000846F5" w:rsidP="0071675D">
            <w:pPr>
              <w:spacing w:line="288" w:lineRule="auto"/>
            </w:pPr>
            <w:r>
              <w:t xml:space="preserve">Картов четец </w:t>
            </w:r>
          </w:p>
        </w:tc>
        <w:tc>
          <w:tcPr>
            <w:tcW w:w="1775" w:type="dxa"/>
            <w:tcBorders>
              <w:top w:val="single" w:sz="6" w:space="0" w:color="auto"/>
              <w:left w:val="single" w:sz="6" w:space="0" w:color="auto"/>
              <w:bottom w:val="single" w:sz="6" w:space="0" w:color="auto"/>
              <w:right w:val="single" w:sz="6" w:space="0" w:color="auto"/>
            </w:tcBorders>
          </w:tcPr>
          <w:p w:rsidR="00AD57D4" w:rsidRPr="000846F5" w:rsidRDefault="000846F5" w:rsidP="0071675D">
            <w:pPr>
              <w:spacing w:line="288" w:lineRule="auto"/>
              <w:jc w:val="right"/>
            </w:pPr>
            <w:r>
              <w:t>1</w:t>
            </w:r>
          </w:p>
        </w:tc>
      </w:tr>
      <w:tr w:rsidR="000846F5" w:rsidRPr="00C62311" w:rsidTr="00AD57D4">
        <w:tc>
          <w:tcPr>
            <w:tcW w:w="733" w:type="dxa"/>
            <w:tcBorders>
              <w:top w:val="single" w:sz="6" w:space="0" w:color="auto"/>
              <w:left w:val="single" w:sz="6" w:space="0" w:color="auto"/>
              <w:bottom w:val="single" w:sz="6" w:space="0" w:color="auto"/>
              <w:right w:val="single" w:sz="6" w:space="0" w:color="auto"/>
            </w:tcBorders>
          </w:tcPr>
          <w:p w:rsidR="000846F5" w:rsidRPr="00C62311" w:rsidRDefault="000846F5" w:rsidP="0071675D">
            <w:pPr>
              <w:spacing w:line="288" w:lineRule="auto"/>
              <w:jc w:val="right"/>
            </w:pPr>
            <w:r>
              <w:t>7.</w:t>
            </w:r>
          </w:p>
        </w:tc>
        <w:tc>
          <w:tcPr>
            <w:tcW w:w="5247" w:type="dxa"/>
            <w:tcBorders>
              <w:top w:val="single" w:sz="6" w:space="0" w:color="auto"/>
              <w:left w:val="single" w:sz="6" w:space="0" w:color="auto"/>
              <w:bottom w:val="single" w:sz="6" w:space="0" w:color="auto"/>
              <w:right w:val="single" w:sz="6" w:space="0" w:color="auto"/>
            </w:tcBorders>
          </w:tcPr>
          <w:p w:rsidR="000846F5" w:rsidRDefault="000846F5" w:rsidP="0071675D">
            <w:pPr>
              <w:spacing w:line="288" w:lineRule="auto"/>
            </w:pPr>
            <w:r>
              <w:t>Подобрение на кръвно газов анализатор</w:t>
            </w:r>
          </w:p>
        </w:tc>
        <w:tc>
          <w:tcPr>
            <w:tcW w:w="1775" w:type="dxa"/>
            <w:tcBorders>
              <w:top w:val="single" w:sz="6" w:space="0" w:color="auto"/>
              <w:left w:val="single" w:sz="6" w:space="0" w:color="auto"/>
              <w:bottom w:val="single" w:sz="6" w:space="0" w:color="auto"/>
              <w:right w:val="single" w:sz="6" w:space="0" w:color="auto"/>
            </w:tcBorders>
          </w:tcPr>
          <w:p w:rsidR="000846F5" w:rsidRDefault="000846F5" w:rsidP="0071675D">
            <w:pPr>
              <w:spacing w:line="288" w:lineRule="auto"/>
              <w:jc w:val="right"/>
            </w:pPr>
            <w:r>
              <w:t>2</w:t>
            </w:r>
          </w:p>
        </w:tc>
      </w:tr>
      <w:tr w:rsidR="000846F5" w:rsidRPr="00C62311" w:rsidTr="00AD57D4">
        <w:tc>
          <w:tcPr>
            <w:tcW w:w="733" w:type="dxa"/>
            <w:tcBorders>
              <w:top w:val="single" w:sz="6" w:space="0" w:color="auto"/>
              <w:left w:val="single" w:sz="6" w:space="0" w:color="auto"/>
              <w:bottom w:val="single" w:sz="6" w:space="0" w:color="auto"/>
              <w:right w:val="single" w:sz="6" w:space="0" w:color="auto"/>
            </w:tcBorders>
          </w:tcPr>
          <w:p w:rsidR="000846F5" w:rsidRDefault="000846F5" w:rsidP="0071675D">
            <w:pPr>
              <w:spacing w:line="288" w:lineRule="auto"/>
              <w:jc w:val="right"/>
            </w:pPr>
            <w:r>
              <w:t>8.</w:t>
            </w:r>
          </w:p>
        </w:tc>
        <w:tc>
          <w:tcPr>
            <w:tcW w:w="5247" w:type="dxa"/>
            <w:tcBorders>
              <w:top w:val="single" w:sz="6" w:space="0" w:color="auto"/>
              <w:left w:val="single" w:sz="6" w:space="0" w:color="auto"/>
              <w:bottom w:val="single" w:sz="6" w:space="0" w:color="auto"/>
              <w:right w:val="single" w:sz="6" w:space="0" w:color="auto"/>
            </w:tcBorders>
          </w:tcPr>
          <w:p w:rsidR="000846F5" w:rsidRDefault="00377292" w:rsidP="0071675D">
            <w:pPr>
              <w:spacing w:line="288" w:lineRule="auto"/>
            </w:pPr>
            <w:r>
              <w:t xml:space="preserve">Други </w:t>
            </w:r>
          </w:p>
        </w:tc>
        <w:tc>
          <w:tcPr>
            <w:tcW w:w="1775" w:type="dxa"/>
            <w:tcBorders>
              <w:top w:val="single" w:sz="6" w:space="0" w:color="auto"/>
              <w:left w:val="single" w:sz="6" w:space="0" w:color="auto"/>
              <w:bottom w:val="single" w:sz="6" w:space="0" w:color="auto"/>
              <w:right w:val="single" w:sz="6" w:space="0" w:color="auto"/>
            </w:tcBorders>
          </w:tcPr>
          <w:p w:rsidR="000846F5" w:rsidRDefault="00377292" w:rsidP="0071675D">
            <w:pPr>
              <w:spacing w:line="288" w:lineRule="auto"/>
              <w:jc w:val="right"/>
            </w:pPr>
            <w:r>
              <w:t>5</w:t>
            </w:r>
          </w:p>
        </w:tc>
      </w:tr>
      <w:tr w:rsidR="00DD42F8" w:rsidRPr="00C62311" w:rsidTr="00AD57D4">
        <w:tc>
          <w:tcPr>
            <w:tcW w:w="733" w:type="dxa"/>
            <w:tcBorders>
              <w:top w:val="single" w:sz="6" w:space="0" w:color="auto"/>
              <w:left w:val="single" w:sz="6" w:space="0" w:color="auto"/>
              <w:bottom w:val="single" w:sz="6" w:space="0" w:color="auto"/>
              <w:right w:val="single" w:sz="6" w:space="0" w:color="auto"/>
            </w:tcBorders>
          </w:tcPr>
          <w:p w:rsidR="00DD42F8" w:rsidRPr="00DD42F8" w:rsidRDefault="00DD42F8" w:rsidP="0071675D">
            <w:pPr>
              <w:spacing w:line="288" w:lineRule="auto"/>
              <w:jc w:val="right"/>
              <w:rPr>
                <w:lang w:val="en-US"/>
              </w:rPr>
            </w:pPr>
            <w:r>
              <w:rPr>
                <w:lang w:val="en-US"/>
              </w:rPr>
              <w:t>9.</w:t>
            </w:r>
          </w:p>
        </w:tc>
        <w:tc>
          <w:tcPr>
            <w:tcW w:w="5247" w:type="dxa"/>
            <w:tcBorders>
              <w:top w:val="single" w:sz="6" w:space="0" w:color="auto"/>
              <w:left w:val="single" w:sz="6" w:space="0" w:color="auto"/>
              <w:bottom w:val="single" w:sz="6" w:space="0" w:color="auto"/>
              <w:right w:val="single" w:sz="6" w:space="0" w:color="auto"/>
            </w:tcBorders>
          </w:tcPr>
          <w:p w:rsidR="00DD42F8" w:rsidRDefault="00DD42F8" w:rsidP="0071675D">
            <w:pPr>
              <w:spacing w:line="288" w:lineRule="auto"/>
            </w:pPr>
            <w:r w:rsidRPr="00C62311">
              <w:t>Дълготрайни нематериални  активи</w:t>
            </w:r>
          </w:p>
        </w:tc>
        <w:tc>
          <w:tcPr>
            <w:tcW w:w="1775" w:type="dxa"/>
            <w:tcBorders>
              <w:top w:val="single" w:sz="6" w:space="0" w:color="auto"/>
              <w:left w:val="single" w:sz="6" w:space="0" w:color="auto"/>
              <w:bottom w:val="single" w:sz="6" w:space="0" w:color="auto"/>
              <w:right w:val="single" w:sz="6" w:space="0" w:color="auto"/>
            </w:tcBorders>
          </w:tcPr>
          <w:p w:rsidR="00DD42F8" w:rsidRPr="00DD42F8" w:rsidRDefault="00DD42F8" w:rsidP="0071675D">
            <w:pPr>
              <w:spacing w:line="288" w:lineRule="auto"/>
              <w:jc w:val="right"/>
              <w:rPr>
                <w:lang w:val="en-US"/>
              </w:rPr>
            </w:pPr>
            <w:r>
              <w:rPr>
                <w:lang w:val="en-US"/>
              </w:rPr>
              <w:t>4</w:t>
            </w:r>
          </w:p>
        </w:tc>
      </w:tr>
      <w:tr w:rsidR="00DD42F8" w:rsidRPr="00C62311" w:rsidTr="00AD57D4">
        <w:tc>
          <w:tcPr>
            <w:tcW w:w="733" w:type="dxa"/>
            <w:tcBorders>
              <w:top w:val="single" w:sz="6" w:space="0" w:color="auto"/>
              <w:left w:val="single" w:sz="6" w:space="0" w:color="auto"/>
              <w:bottom w:val="single" w:sz="6" w:space="0" w:color="auto"/>
              <w:right w:val="single" w:sz="6" w:space="0" w:color="auto"/>
            </w:tcBorders>
          </w:tcPr>
          <w:p w:rsidR="00DD42F8" w:rsidRDefault="00DD42F8" w:rsidP="0071675D">
            <w:pPr>
              <w:spacing w:line="288" w:lineRule="auto"/>
              <w:jc w:val="right"/>
              <w:rPr>
                <w:lang w:val="en-US"/>
              </w:rPr>
            </w:pPr>
            <w:r>
              <w:rPr>
                <w:lang w:val="en-US"/>
              </w:rPr>
              <w:t>10.</w:t>
            </w:r>
          </w:p>
        </w:tc>
        <w:tc>
          <w:tcPr>
            <w:tcW w:w="5247" w:type="dxa"/>
            <w:tcBorders>
              <w:top w:val="single" w:sz="6" w:space="0" w:color="auto"/>
              <w:left w:val="single" w:sz="6" w:space="0" w:color="auto"/>
              <w:bottom w:val="single" w:sz="6" w:space="0" w:color="auto"/>
              <w:right w:val="single" w:sz="6" w:space="0" w:color="auto"/>
            </w:tcBorders>
          </w:tcPr>
          <w:p w:rsidR="00DD42F8" w:rsidRPr="00C62311" w:rsidRDefault="00DD42F8" w:rsidP="0071675D">
            <w:pPr>
              <w:spacing w:line="288" w:lineRule="auto"/>
            </w:pPr>
            <w:r w:rsidRPr="00C62311">
              <w:t>Разходи за придобиване на ДА</w:t>
            </w:r>
          </w:p>
        </w:tc>
        <w:tc>
          <w:tcPr>
            <w:tcW w:w="1775" w:type="dxa"/>
            <w:tcBorders>
              <w:top w:val="single" w:sz="6" w:space="0" w:color="auto"/>
              <w:left w:val="single" w:sz="6" w:space="0" w:color="auto"/>
              <w:bottom w:val="single" w:sz="6" w:space="0" w:color="auto"/>
              <w:right w:val="single" w:sz="6" w:space="0" w:color="auto"/>
            </w:tcBorders>
          </w:tcPr>
          <w:p w:rsidR="00DD42F8" w:rsidRDefault="004E17BB" w:rsidP="0071675D">
            <w:pPr>
              <w:spacing w:line="288" w:lineRule="auto"/>
              <w:jc w:val="right"/>
              <w:rPr>
                <w:lang w:val="en-US"/>
              </w:rPr>
            </w:pPr>
            <w:r>
              <w:rPr>
                <w:lang w:val="en-US"/>
              </w:rPr>
              <w:t>3</w:t>
            </w:r>
          </w:p>
        </w:tc>
      </w:tr>
    </w:tbl>
    <w:p w:rsidR="005349CE" w:rsidRDefault="00AD57D4" w:rsidP="00AD57D4">
      <w:pPr>
        <w:spacing w:before="120" w:after="120"/>
        <w:jc w:val="both"/>
        <w:rPr>
          <w:b/>
          <w:bCs/>
        </w:rPr>
      </w:pPr>
      <w:r w:rsidRPr="00C62311">
        <w:rPr>
          <w:b/>
          <w:bCs/>
        </w:rPr>
        <w:tab/>
      </w:r>
    </w:p>
    <w:p w:rsidR="00801FE1" w:rsidRPr="00C62311" w:rsidRDefault="00AD57D4" w:rsidP="00AD57D4">
      <w:pPr>
        <w:spacing w:before="120" w:after="120"/>
        <w:jc w:val="both"/>
        <w:rPr>
          <w:b/>
          <w:bCs/>
        </w:rPr>
      </w:pPr>
      <w:r w:rsidRPr="00C62311">
        <w:rPr>
          <w:b/>
          <w:bCs/>
          <w:i/>
          <w:iCs/>
        </w:rPr>
        <w:lastRenderedPageBreak/>
        <w:t>Придобити активи чрез дарение:</w:t>
      </w:r>
    </w:p>
    <w:tbl>
      <w:tblPr>
        <w:tblW w:w="7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
        <w:gridCol w:w="5247"/>
        <w:gridCol w:w="1775"/>
      </w:tblGrid>
      <w:tr w:rsidR="00AD57D4" w:rsidRPr="00C62311" w:rsidTr="0071675D">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center"/>
            </w:pPr>
            <w:r w:rsidRPr="00C62311">
              <w:rPr>
                <w:b/>
                <w:bCs/>
              </w:rPr>
              <w:tab/>
            </w:r>
            <w:r w:rsidRPr="00C62311">
              <w:t>№</w:t>
            </w:r>
          </w:p>
        </w:tc>
        <w:tc>
          <w:tcPr>
            <w:tcW w:w="5247"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center"/>
            </w:pPr>
            <w:r w:rsidRPr="00C62311">
              <w:t>Наименование</w:t>
            </w:r>
          </w:p>
        </w:tc>
        <w:tc>
          <w:tcPr>
            <w:tcW w:w="1775"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center"/>
            </w:pPr>
            <w:r w:rsidRPr="00C62311">
              <w:t>Стойност</w:t>
            </w:r>
          </w:p>
        </w:tc>
      </w:tr>
      <w:tr w:rsidR="00AD57D4" w:rsidRPr="00C62311" w:rsidTr="0071675D">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center"/>
            </w:pPr>
            <w:r w:rsidRPr="00C62311">
              <w:t>1</w:t>
            </w:r>
          </w:p>
        </w:tc>
        <w:tc>
          <w:tcPr>
            <w:tcW w:w="5247"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center"/>
            </w:pPr>
            <w:r w:rsidRPr="00C62311">
              <w:t>2</w:t>
            </w:r>
          </w:p>
        </w:tc>
        <w:tc>
          <w:tcPr>
            <w:tcW w:w="1775"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center"/>
            </w:pPr>
            <w:r w:rsidRPr="00C62311">
              <w:t>3</w:t>
            </w:r>
          </w:p>
        </w:tc>
      </w:tr>
      <w:tr w:rsidR="00AD57D4" w:rsidRPr="00C62311" w:rsidTr="0071675D">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right"/>
            </w:pPr>
            <w:r w:rsidRPr="00C62311">
              <w:t>1.</w:t>
            </w:r>
          </w:p>
        </w:tc>
        <w:tc>
          <w:tcPr>
            <w:tcW w:w="5247" w:type="dxa"/>
            <w:tcBorders>
              <w:top w:val="single" w:sz="6" w:space="0" w:color="auto"/>
              <w:left w:val="single" w:sz="6" w:space="0" w:color="auto"/>
              <w:bottom w:val="single" w:sz="6" w:space="0" w:color="auto"/>
              <w:right w:val="single" w:sz="6" w:space="0" w:color="auto"/>
            </w:tcBorders>
          </w:tcPr>
          <w:p w:rsidR="00AD57D4" w:rsidRPr="00377292" w:rsidRDefault="00377292" w:rsidP="0071675D">
            <w:pPr>
              <w:spacing w:line="288" w:lineRule="auto"/>
            </w:pPr>
            <w:proofErr w:type="spellStart"/>
            <w:r w:rsidRPr="00377292">
              <w:rPr>
                <w:lang w:val="en-US"/>
              </w:rPr>
              <w:t>Пациентска</w:t>
            </w:r>
            <w:proofErr w:type="spellEnd"/>
            <w:r w:rsidRPr="00377292">
              <w:rPr>
                <w:lang w:val="en-US"/>
              </w:rPr>
              <w:t xml:space="preserve"> </w:t>
            </w:r>
            <w:proofErr w:type="spellStart"/>
            <w:r w:rsidRPr="00377292">
              <w:rPr>
                <w:lang w:val="en-US"/>
              </w:rPr>
              <w:t>мониторингова</w:t>
            </w:r>
            <w:proofErr w:type="spellEnd"/>
            <w:r w:rsidRPr="00377292">
              <w:rPr>
                <w:lang w:val="en-US"/>
              </w:rPr>
              <w:t xml:space="preserve"> </w:t>
            </w:r>
            <w:proofErr w:type="spellStart"/>
            <w:r w:rsidRPr="00377292">
              <w:rPr>
                <w:lang w:val="en-US"/>
              </w:rPr>
              <w:t>система</w:t>
            </w:r>
            <w:proofErr w:type="spellEnd"/>
            <w:r w:rsidRPr="00377292">
              <w:rPr>
                <w:lang w:val="en-US"/>
              </w:rPr>
              <w:t xml:space="preserve"> SpO2- </w:t>
            </w:r>
            <w:proofErr w:type="spellStart"/>
            <w:r w:rsidRPr="00377292">
              <w:rPr>
                <w:lang w:val="en-US"/>
              </w:rPr>
              <w:t>модел</w:t>
            </w:r>
            <w:proofErr w:type="spellEnd"/>
            <w:r w:rsidRPr="00377292">
              <w:rPr>
                <w:lang w:val="en-US"/>
              </w:rPr>
              <w:t xml:space="preserve"> </w:t>
            </w:r>
            <w:proofErr w:type="spellStart"/>
            <w:r w:rsidRPr="00377292">
              <w:rPr>
                <w:lang w:val="en-US"/>
              </w:rPr>
              <w:t>Nellcor</w:t>
            </w:r>
            <w:proofErr w:type="spellEnd"/>
            <w:r w:rsidRPr="00377292">
              <w:rPr>
                <w:lang w:val="en-US"/>
              </w:rPr>
              <w:t xml:space="preserve"> </w:t>
            </w:r>
            <w:proofErr w:type="spellStart"/>
            <w:r w:rsidRPr="00377292">
              <w:rPr>
                <w:lang w:val="en-US"/>
              </w:rPr>
              <w:t>за</w:t>
            </w:r>
            <w:proofErr w:type="spellEnd"/>
            <w:r w:rsidRPr="00377292">
              <w:rPr>
                <w:lang w:val="en-US"/>
              </w:rPr>
              <w:t xml:space="preserve"> </w:t>
            </w:r>
            <w:r w:rsidRPr="00377292">
              <w:t>Неонатологично отделение</w:t>
            </w:r>
          </w:p>
        </w:tc>
        <w:tc>
          <w:tcPr>
            <w:tcW w:w="1775" w:type="dxa"/>
            <w:tcBorders>
              <w:top w:val="single" w:sz="6" w:space="0" w:color="auto"/>
              <w:left w:val="single" w:sz="6" w:space="0" w:color="auto"/>
              <w:bottom w:val="single" w:sz="6" w:space="0" w:color="auto"/>
              <w:right w:val="single" w:sz="6" w:space="0" w:color="auto"/>
            </w:tcBorders>
          </w:tcPr>
          <w:p w:rsidR="00AD57D4" w:rsidRPr="00C62311" w:rsidRDefault="00377292" w:rsidP="0071675D">
            <w:pPr>
              <w:spacing w:line="288" w:lineRule="auto"/>
              <w:jc w:val="right"/>
            </w:pPr>
            <w:r>
              <w:t>2</w:t>
            </w:r>
          </w:p>
        </w:tc>
      </w:tr>
      <w:tr w:rsidR="00AD57D4" w:rsidRPr="00C62311" w:rsidTr="0071675D">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right"/>
            </w:pPr>
            <w:r w:rsidRPr="00C62311">
              <w:t>2.</w:t>
            </w:r>
          </w:p>
        </w:tc>
        <w:tc>
          <w:tcPr>
            <w:tcW w:w="5247" w:type="dxa"/>
            <w:tcBorders>
              <w:top w:val="single" w:sz="6" w:space="0" w:color="auto"/>
              <w:left w:val="single" w:sz="6" w:space="0" w:color="auto"/>
              <w:bottom w:val="single" w:sz="6" w:space="0" w:color="auto"/>
              <w:right w:val="single" w:sz="6" w:space="0" w:color="auto"/>
            </w:tcBorders>
          </w:tcPr>
          <w:p w:rsidR="00AD57D4" w:rsidRPr="00377292" w:rsidRDefault="00377292" w:rsidP="0071675D">
            <w:pPr>
              <w:spacing w:line="288" w:lineRule="auto"/>
            </w:pPr>
            <w:r w:rsidRPr="00377292">
              <w:t>Фетален монитор</w:t>
            </w:r>
          </w:p>
        </w:tc>
        <w:tc>
          <w:tcPr>
            <w:tcW w:w="1775" w:type="dxa"/>
            <w:tcBorders>
              <w:top w:val="single" w:sz="6" w:space="0" w:color="auto"/>
              <w:left w:val="single" w:sz="6" w:space="0" w:color="auto"/>
              <w:bottom w:val="single" w:sz="6" w:space="0" w:color="auto"/>
              <w:right w:val="single" w:sz="6" w:space="0" w:color="auto"/>
            </w:tcBorders>
          </w:tcPr>
          <w:p w:rsidR="00AD57D4" w:rsidRPr="00C62311" w:rsidRDefault="00377292" w:rsidP="0071675D">
            <w:pPr>
              <w:spacing w:line="288" w:lineRule="auto"/>
              <w:jc w:val="right"/>
            </w:pPr>
            <w:r>
              <w:t>2</w:t>
            </w:r>
          </w:p>
        </w:tc>
      </w:tr>
      <w:tr w:rsidR="00AD57D4" w:rsidRPr="00C62311" w:rsidTr="0071675D">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right"/>
            </w:pPr>
            <w:r w:rsidRPr="00C62311">
              <w:t>3.</w:t>
            </w:r>
          </w:p>
        </w:tc>
        <w:tc>
          <w:tcPr>
            <w:tcW w:w="5247" w:type="dxa"/>
            <w:tcBorders>
              <w:top w:val="single" w:sz="6" w:space="0" w:color="auto"/>
              <w:left w:val="single" w:sz="6" w:space="0" w:color="auto"/>
              <w:bottom w:val="single" w:sz="6" w:space="0" w:color="auto"/>
              <w:right w:val="single" w:sz="6" w:space="0" w:color="auto"/>
            </w:tcBorders>
          </w:tcPr>
          <w:p w:rsidR="00AD57D4" w:rsidRPr="00377292" w:rsidRDefault="00377292" w:rsidP="0071675D">
            <w:pPr>
              <w:spacing w:line="288" w:lineRule="auto"/>
            </w:pPr>
            <w:proofErr w:type="spellStart"/>
            <w:r w:rsidRPr="00377292">
              <w:rPr>
                <w:lang w:val="en-US"/>
              </w:rPr>
              <w:t>Инкубатор</w:t>
            </w:r>
            <w:proofErr w:type="spellEnd"/>
            <w:r w:rsidRPr="00377292">
              <w:t>и</w:t>
            </w:r>
            <w:r w:rsidRPr="00377292">
              <w:rPr>
                <w:lang w:val="en-US"/>
              </w:rPr>
              <w:t xml:space="preserve"> </w:t>
            </w:r>
            <w:proofErr w:type="spellStart"/>
            <w:r w:rsidRPr="00377292">
              <w:rPr>
                <w:lang w:val="en-US"/>
              </w:rPr>
              <w:t>за</w:t>
            </w:r>
            <w:proofErr w:type="spellEnd"/>
            <w:r w:rsidRPr="00377292">
              <w:rPr>
                <w:lang w:val="en-US"/>
              </w:rPr>
              <w:t xml:space="preserve"> </w:t>
            </w:r>
            <w:proofErr w:type="spellStart"/>
            <w:r w:rsidRPr="00377292">
              <w:rPr>
                <w:lang w:val="en-US"/>
              </w:rPr>
              <w:t>но</w:t>
            </w:r>
            <w:proofErr w:type="spellEnd"/>
            <w:r w:rsidRPr="00377292">
              <w:t>в</w:t>
            </w:r>
            <w:proofErr w:type="spellStart"/>
            <w:r w:rsidRPr="00377292">
              <w:rPr>
                <w:lang w:val="en-US"/>
              </w:rPr>
              <w:t>ородени</w:t>
            </w:r>
            <w:proofErr w:type="spellEnd"/>
            <w:r w:rsidRPr="00377292">
              <w:rPr>
                <w:lang w:val="en-US"/>
              </w:rPr>
              <w:t xml:space="preserve"> </w:t>
            </w:r>
            <w:proofErr w:type="spellStart"/>
            <w:r w:rsidRPr="00377292">
              <w:rPr>
                <w:lang w:val="en-US"/>
              </w:rPr>
              <w:t>за</w:t>
            </w:r>
            <w:proofErr w:type="spellEnd"/>
            <w:r w:rsidRPr="00377292">
              <w:rPr>
                <w:lang w:val="en-US"/>
              </w:rPr>
              <w:t xml:space="preserve"> </w:t>
            </w:r>
            <w:proofErr w:type="spellStart"/>
            <w:r w:rsidRPr="00377292">
              <w:t>Неонатологично</w:t>
            </w:r>
            <w:proofErr w:type="spellEnd"/>
            <w:r w:rsidRPr="00377292">
              <w:t xml:space="preserve"> отделение</w:t>
            </w:r>
          </w:p>
        </w:tc>
        <w:tc>
          <w:tcPr>
            <w:tcW w:w="1775" w:type="dxa"/>
            <w:tcBorders>
              <w:top w:val="single" w:sz="6" w:space="0" w:color="auto"/>
              <w:left w:val="single" w:sz="6" w:space="0" w:color="auto"/>
              <w:bottom w:val="single" w:sz="6" w:space="0" w:color="auto"/>
              <w:right w:val="single" w:sz="6" w:space="0" w:color="auto"/>
            </w:tcBorders>
          </w:tcPr>
          <w:p w:rsidR="00AD57D4" w:rsidRPr="00C62311" w:rsidRDefault="00377292" w:rsidP="0071675D">
            <w:pPr>
              <w:spacing w:line="288" w:lineRule="auto"/>
              <w:jc w:val="right"/>
            </w:pPr>
            <w:r>
              <w:t>24</w:t>
            </w:r>
          </w:p>
        </w:tc>
      </w:tr>
      <w:tr w:rsidR="00AD57D4" w:rsidRPr="00C62311" w:rsidTr="0071675D">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right"/>
            </w:pPr>
            <w:r w:rsidRPr="00C62311">
              <w:t>4.</w:t>
            </w:r>
          </w:p>
        </w:tc>
        <w:tc>
          <w:tcPr>
            <w:tcW w:w="5247" w:type="dxa"/>
            <w:tcBorders>
              <w:top w:val="single" w:sz="6" w:space="0" w:color="auto"/>
              <w:left w:val="single" w:sz="6" w:space="0" w:color="auto"/>
              <w:bottom w:val="single" w:sz="6" w:space="0" w:color="auto"/>
              <w:right w:val="single" w:sz="6" w:space="0" w:color="auto"/>
            </w:tcBorders>
          </w:tcPr>
          <w:p w:rsidR="00AD57D4" w:rsidRPr="00377292" w:rsidRDefault="00377292" w:rsidP="0071675D">
            <w:pPr>
              <w:spacing w:line="288" w:lineRule="auto"/>
            </w:pPr>
            <w:proofErr w:type="spellStart"/>
            <w:r w:rsidRPr="00377292">
              <w:t>Инфузионна</w:t>
            </w:r>
            <w:proofErr w:type="spellEnd"/>
            <w:r w:rsidRPr="00377292">
              <w:t xml:space="preserve"> помпа </w:t>
            </w:r>
            <w:proofErr w:type="spellStart"/>
            <w:r w:rsidRPr="00377292">
              <w:rPr>
                <w:lang w:val="en-US"/>
              </w:rPr>
              <w:t>за</w:t>
            </w:r>
            <w:proofErr w:type="spellEnd"/>
            <w:r w:rsidRPr="00377292">
              <w:rPr>
                <w:lang w:val="en-US"/>
              </w:rPr>
              <w:t xml:space="preserve"> </w:t>
            </w:r>
            <w:proofErr w:type="spellStart"/>
            <w:r w:rsidRPr="00377292">
              <w:t>Неонатологично</w:t>
            </w:r>
            <w:proofErr w:type="spellEnd"/>
            <w:r w:rsidRPr="00377292">
              <w:t xml:space="preserve"> отделение</w:t>
            </w:r>
          </w:p>
        </w:tc>
        <w:tc>
          <w:tcPr>
            <w:tcW w:w="1775" w:type="dxa"/>
            <w:tcBorders>
              <w:top w:val="single" w:sz="6" w:space="0" w:color="auto"/>
              <w:left w:val="single" w:sz="6" w:space="0" w:color="auto"/>
              <w:bottom w:val="single" w:sz="6" w:space="0" w:color="auto"/>
              <w:right w:val="single" w:sz="6" w:space="0" w:color="auto"/>
            </w:tcBorders>
          </w:tcPr>
          <w:p w:rsidR="00AD57D4" w:rsidRPr="00C62311" w:rsidRDefault="00377292" w:rsidP="0071675D">
            <w:pPr>
              <w:spacing w:line="288" w:lineRule="auto"/>
              <w:jc w:val="right"/>
            </w:pPr>
            <w:r>
              <w:t>2</w:t>
            </w:r>
          </w:p>
        </w:tc>
      </w:tr>
      <w:tr w:rsidR="00AD57D4" w:rsidRPr="00C62311" w:rsidTr="0071675D">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right"/>
            </w:pPr>
            <w:r w:rsidRPr="00C62311">
              <w:t>5.</w:t>
            </w:r>
          </w:p>
        </w:tc>
        <w:tc>
          <w:tcPr>
            <w:tcW w:w="5247" w:type="dxa"/>
            <w:tcBorders>
              <w:top w:val="single" w:sz="6" w:space="0" w:color="auto"/>
              <w:left w:val="single" w:sz="6" w:space="0" w:color="auto"/>
              <w:bottom w:val="single" w:sz="6" w:space="0" w:color="auto"/>
              <w:right w:val="single" w:sz="6" w:space="0" w:color="auto"/>
            </w:tcBorders>
          </w:tcPr>
          <w:p w:rsidR="00AD57D4" w:rsidRPr="00377292" w:rsidRDefault="00377292" w:rsidP="0071675D">
            <w:pPr>
              <w:spacing w:line="288" w:lineRule="auto"/>
            </w:pPr>
            <w:r w:rsidRPr="00377292">
              <w:t>Пациентски монитор за ОАИЛ</w:t>
            </w:r>
          </w:p>
        </w:tc>
        <w:tc>
          <w:tcPr>
            <w:tcW w:w="1775" w:type="dxa"/>
            <w:tcBorders>
              <w:top w:val="single" w:sz="6" w:space="0" w:color="auto"/>
              <w:left w:val="single" w:sz="6" w:space="0" w:color="auto"/>
              <w:bottom w:val="single" w:sz="6" w:space="0" w:color="auto"/>
              <w:right w:val="single" w:sz="6" w:space="0" w:color="auto"/>
            </w:tcBorders>
          </w:tcPr>
          <w:p w:rsidR="00AD57D4" w:rsidRPr="00377292" w:rsidRDefault="00377292" w:rsidP="0071675D">
            <w:pPr>
              <w:spacing w:line="288" w:lineRule="auto"/>
              <w:jc w:val="right"/>
            </w:pPr>
            <w:r>
              <w:t>1</w:t>
            </w:r>
          </w:p>
        </w:tc>
      </w:tr>
      <w:tr w:rsidR="00AD57D4" w:rsidRPr="00C62311" w:rsidTr="0071675D">
        <w:tc>
          <w:tcPr>
            <w:tcW w:w="733" w:type="dxa"/>
            <w:tcBorders>
              <w:top w:val="single" w:sz="6" w:space="0" w:color="auto"/>
              <w:left w:val="single" w:sz="6" w:space="0" w:color="auto"/>
              <w:bottom w:val="single" w:sz="6" w:space="0" w:color="auto"/>
              <w:right w:val="single" w:sz="6" w:space="0" w:color="auto"/>
            </w:tcBorders>
          </w:tcPr>
          <w:p w:rsidR="00AD57D4" w:rsidRPr="00C62311" w:rsidRDefault="00AD57D4" w:rsidP="0071675D">
            <w:pPr>
              <w:spacing w:line="288" w:lineRule="auto"/>
              <w:jc w:val="right"/>
            </w:pPr>
            <w:r w:rsidRPr="00C62311">
              <w:t>6.</w:t>
            </w:r>
          </w:p>
        </w:tc>
        <w:tc>
          <w:tcPr>
            <w:tcW w:w="5247" w:type="dxa"/>
            <w:tcBorders>
              <w:top w:val="single" w:sz="6" w:space="0" w:color="auto"/>
              <w:left w:val="single" w:sz="6" w:space="0" w:color="auto"/>
              <w:bottom w:val="single" w:sz="6" w:space="0" w:color="auto"/>
              <w:right w:val="single" w:sz="6" w:space="0" w:color="auto"/>
            </w:tcBorders>
          </w:tcPr>
          <w:p w:rsidR="00AD57D4" w:rsidRPr="00377292" w:rsidRDefault="00377292" w:rsidP="0071675D">
            <w:pPr>
              <w:spacing w:line="288" w:lineRule="auto"/>
            </w:pPr>
            <w:r w:rsidRPr="00377292">
              <w:t>Количка за аспирация за Неонатологично отделение</w:t>
            </w:r>
          </w:p>
        </w:tc>
        <w:tc>
          <w:tcPr>
            <w:tcW w:w="1775" w:type="dxa"/>
            <w:tcBorders>
              <w:top w:val="single" w:sz="6" w:space="0" w:color="auto"/>
              <w:left w:val="single" w:sz="6" w:space="0" w:color="auto"/>
              <w:bottom w:val="single" w:sz="6" w:space="0" w:color="auto"/>
              <w:right w:val="single" w:sz="6" w:space="0" w:color="auto"/>
            </w:tcBorders>
          </w:tcPr>
          <w:p w:rsidR="00AD57D4" w:rsidRPr="00377292" w:rsidRDefault="00377292" w:rsidP="0071675D">
            <w:pPr>
              <w:spacing w:line="288" w:lineRule="auto"/>
              <w:jc w:val="right"/>
            </w:pPr>
            <w:r>
              <w:t>1</w:t>
            </w:r>
          </w:p>
        </w:tc>
      </w:tr>
      <w:tr w:rsidR="00377292" w:rsidRPr="00C62311" w:rsidTr="0071675D">
        <w:tc>
          <w:tcPr>
            <w:tcW w:w="733" w:type="dxa"/>
            <w:tcBorders>
              <w:top w:val="single" w:sz="6" w:space="0" w:color="auto"/>
              <w:left w:val="single" w:sz="6" w:space="0" w:color="auto"/>
              <w:bottom w:val="single" w:sz="6" w:space="0" w:color="auto"/>
              <w:right w:val="single" w:sz="6" w:space="0" w:color="auto"/>
            </w:tcBorders>
          </w:tcPr>
          <w:p w:rsidR="00377292" w:rsidRPr="00C62311" w:rsidRDefault="00377292" w:rsidP="0071675D">
            <w:pPr>
              <w:spacing w:line="288" w:lineRule="auto"/>
              <w:jc w:val="right"/>
            </w:pPr>
            <w:r>
              <w:t>7.</w:t>
            </w:r>
          </w:p>
        </w:tc>
        <w:tc>
          <w:tcPr>
            <w:tcW w:w="5247" w:type="dxa"/>
            <w:tcBorders>
              <w:top w:val="single" w:sz="6" w:space="0" w:color="auto"/>
              <w:left w:val="single" w:sz="6" w:space="0" w:color="auto"/>
              <w:bottom w:val="single" w:sz="6" w:space="0" w:color="auto"/>
              <w:right w:val="single" w:sz="6" w:space="0" w:color="auto"/>
            </w:tcBorders>
          </w:tcPr>
          <w:p w:rsidR="00377292" w:rsidRPr="00377292" w:rsidRDefault="00377292" w:rsidP="0071675D">
            <w:pPr>
              <w:spacing w:line="288" w:lineRule="auto"/>
            </w:pPr>
            <w:r w:rsidRPr="00377292">
              <w:t>Проявителна машина за рентген</w:t>
            </w:r>
          </w:p>
        </w:tc>
        <w:tc>
          <w:tcPr>
            <w:tcW w:w="1775" w:type="dxa"/>
            <w:tcBorders>
              <w:top w:val="single" w:sz="6" w:space="0" w:color="auto"/>
              <w:left w:val="single" w:sz="6" w:space="0" w:color="auto"/>
              <w:bottom w:val="single" w:sz="6" w:space="0" w:color="auto"/>
              <w:right w:val="single" w:sz="6" w:space="0" w:color="auto"/>
            </w:tcBorders>
          </w:tcPr>
          <w:p w:rsidR="00377292" w:rsidRDefault="00377292" w:rsidP="0071675D">
            <w:pPr>
              <w:spacing w:line="288" w:lineRule="auto"/>
              <w:jc w:val="right"/>
            </w:pPr>
            <w:r>
              <w:t>2</w:t>
            </w:r>
          </w:p>
        </w:tc>
      </w:tr>
      <w:tr w:rsidR="00377292" w:rsidRPr="00C62311" w:rsidTr="0071675D">
        <w:tc>
          <w:tcPr>
            <w:tcW w:w="733" w:type="dxa"/>
            <w:tcBorders>
              <w:top w:val="single" w:sz="6" w:space="0" w:color="auto"/>
              <w:left w:val="single" w:sz="6" w:space="0" w:color="auto"/>
              <w:bottom w:val="single" w:sz="6" w:space="0" w:color="auto"/>
              <w:right w:val="single" w:sz="6" w:space="0" w:color="auto"/>
            </w:tcBorders>
          </w:tcPr>
          <w:p w:rsidR="00377292" w:rsidRDefault="00377292" w:rsidP="0071675D">
            <w:pPr>
              <w:spacing w:line="288" w:lineRule="auto"/>
              <w:jc w:val="right"/>
            </w:pPr>
            <w:r>
              <w:t>8.</w:t>
            </w:r>
          </w:p>
        </w:tc>
        <w:tc>
          <w:tcPr>
            <w:tcW w:w="5247" w:type="dxa"/>
            <w:tcBorders>
              <w:top w:val="single" w:sz="6" w:space="0" w:color="auto"/>
              <w:left w:val="single" w:sz="6" w:space="0" w:color="auto"/>
              <w:bottom w:val="single" w:sz="6" w:space="0" w:color="auto"/>
              <w:right w:val="single" w:sz="6" w:space="0" w:color="auto"/>
            </w:tcBorders>
          </w:tcPr>
          <w:p w:rsidR="00377292" w:rsidRPr="00377292" w:rsidRDefault="00377292" w:rsidP="0071675D">
            <w:pPr>
              <w:spacing w:line="288" w:lineRule="auto"/>
            </w:pPr>
            <w:r w:rsidRPr="00377292">
              <w:t>Термолегло с окомпектовка за Неонатологично отделение</w:t>
            </w:r>
          </w:p>
        </w:tc>
        <w:tc>
          <w:tcPr>
            <w:tcW w:w="1775" w:type="dxa"/>
            <w:tcBorders>
              <w:top w:val="single" w:sz="6" w:space="0" w:color="auto"/>
              <w:left w:val="single" w:sz="6" w:space="0" w:color="auto"/>
              <w:bottom w:val="single" w:sz="6" w:space="0" w:color="auto"/>
              <w:right w:val="single" w:sz="6" w:space="0" w:color="auto"/>
            </w:tcBorders>
          </w:tcPr>
          <w:p w:rsidR="00377292" w:rsidRDefault="00377292" w:rsidP="0071675D">
            <w:pPr>
              <w:spacing w:line="288" w:lineRule="auto"/>
              <w:jc w:val="right"/>
            </w:pPr>
            <w:r>
              <w:t>16</w:t>
            </w:r>
          </w:p>
        </w:tc>
      </w:tr>
      <w:tr w:rsidR="00377292" w:rsidRPr="00C62311" w:rsidTr="0071675D">
        <w:tc>
          <w:tcPr>
            <w:tcW w:w="733" w:type="dxa"/>
            <w:tcBorders>
              <w:top w:val="single" w:sz="6" w:space="0" w:color="auto"/>
              <w:left w:val="single" w:sz="6" w:space="0" w:color="auto"/>
              <w:bottom w:val="single" w:sz="6" w:space="0" w:color="auto"/>
              <w:right w:val="single" w:sz="6" w:space="0" w:color="auto"/>
            </w:tcBorders>
          </w:tcPr>
          <w:p w:rsidR="00377292" w:rsidRDefault="00377292" w:rsidP="0071675D">
            <w:pPr>
              <w:spacing w:line="288" w:lineRule="auto"/>
              <w:jc w:val="right"/>
            </w:pPr>
            <w:r>
              <w:t>9.</w:t>
            </w:r>
          </w:p>
        </w:tc>
        <w:tc>
          <w:tcPr>
            <w:tcW w:w="5247" w:type="dxa"/>
            <w:tcBorders>
              <w:top w:val="single" w:sz="6" w:space="0" w:color="auto"/>
              <w:left w:val="single" w:sz="6" w:space="0" w:color="auto"/>
              <w:bottom w:val="single" w:sz="6" w:space="0" w:color="auto"/>
              <w:right w:val="single" w:sz="6" w:space="0" w:color="auto"/>
            </w:tcBorders>
          </w:tcPr>
          <w:p w:rsidR="00377292" w:rsidRPr="00377292" w:rsidRDefault="00377292" w:rsidP="0071675D">
            <w:pPr>
              <w:spacing w:line="288" w:lineRule="auto"/>
            </w:pPr>
            <w:r w:rsidRPr="00377292">
              <w:t>Комплект прикреватна монигорингова система за Неонатологично отделение</w:t>
            </w:r>
          </w:p>
        </w:tc>
        <w:tc>
          <w:tcPr>
            <w:tcW w:w="1775" w:type="dxa"/>
            <w:tcBorders>
              <w:top w:val="single" w:sz="6" w:space="0" w:color="auto"/>
              <w:left w:val="single" w:sz="6" w:space="0" w:color="auto"/>
              <w:bottom w:val="single" w:sz="6" w:space="0" w:color="auto"/>
              <w:right w:val="single" w:sz="6" w:space="0" w:color="auto"/>
            </w:tcBorders>
          </w:tcPr>
          <w:p w:rsidR="00377292" w:rsidRDefault="00377292" w:rsidP="0071675D">
            <w:pPr>
              <w:spacing w:line="288" w:lineRule="auto"/>
              <w:jc w:val="right"/>
            </w:pPr>
            <w:r>
              <w:t>4</w:t>
            </w:r>
          </w:p>
        </w:tc>
      </w:tr>
      <w:tr w:rsidR="00377292" w:rsidRPr="00C62311" w:rsidTr="0071675D">
        <w:tc>
          <w:tcPr>
            <w:tcW w:w="733" w:type="dxa"/>
            <w:tcBorders>
              <w:top w:val="single" w:sz="6" w:space="0" w:color="auto"/>
              <w:left w:val="single" w:sz="6" w:space="0" w:color="auto"/>
              <w:bottom w:val="single" w:sz="6" w:space="0" w:color="auto"/>
              <w:right w:val="single" w:sz="6" w:space="0" w:color="auto"/>
            </w:tcBorders>
          </w:tcPr>
          <w:p w:rsidR="00377292" w:rsidRDefault="00377292" w:rsidP="0071675D">
            <w:pPr>
              <w:spacing w:line="288" w:lineRule="auto"/>
              <w:jc w:val="right"/>
            </w:pPr>
            <w:r>
              <w:t>10.</w:t>
            </w:r>
          </w:p>
        </w:tc>
        <w:tc>
          <w:tcPr>
            <w:tcW w:w="5247" w:type="dxa"/>
            <w:tcBorders>
              <w:top w:val="single" w:sz="6" w:space="0" w:color="auto"/>
              <w:left w:val="single" w:sz="6" w:space="0" w:color="auto"/>
              <w:bottom w:val="single" w:sz="6" w:space="0" w:color="auto"/>
              <w:right w:val="single" w:sz="6" w:space="0" w:color="auto"/>
            </w:tcBorders>
          </w:tcPr>
          <w:p w:rsidR="00377292" w:rsidRPr="00377292" w:rsidRDefault="00377292" w:rsidP="0071675D">
            <w:pPr>
              <w:spacing w:line="288" w:lineRule="auto"/>
            </w:pPr>
            <w:r w:rsidRPr="00377292">
              <w:t>Други</w:t>
            </w:r>
          </w:p>
        </w:tc>
        <w:tc>
          <w:tcPr>
            <w:tcW w:w="1775" w:type="dxa"/>
            <w:tcBorders>
              <w:top w:val="single" w:sz="6" w:space="0" w:color="auto"/>
              <w:left w:val="single" w:sz="6" w:space="0" w:color="auto"/>
              <w:bottom w:val="single" w:sz="6" w:space="0" w:color="auto"/>
              <w:right w:val="single" w:sz="6" w:space="0" w:color="auto"/>
            </w:tcBorders>
          </w:tcPr>
          <w:p w:rsidR="00377292" w:rsidRPr="00205BBD" w:rsidRDefault="00205BBD" w:rsidP="0071675D">
            <w:pPr>
              <w:spacing w:line="288" w:lineRule="auto"/>
              <w:jc w:val="right"/>
              <w:rPr>
                <w:lang w:val="en-US"/>
              </w:rPr>
            </w:pPr>
            <w:r>
              <w:rPr>
                <w:lang w:val="en-US"/>
              </w:rPr>
              <w:t>5</w:t>
            </w:r>
          </w:p>
        </w:tc>
      </w:tr>
      <w:tr w:rsidR="00DD42F8" w:rsidRPr="00C62311" w:rsidTr="0071675D">
        <w:tc>
          <w:tcPr>
            <w:tcW w:w="733" w:type="dxa"/>
            <w:tcBorders>
              <w:top w:val="single" w:sz="6" w:space="0" w:color="auto"/>
              <w:left w:val="single" w:sz="6" w:space="0" w:color="auto"/>
              <w:bottom w:val="single" w:sz="6" w:space="0" w:color="auto"/>
              <w:right w:val="single" w:sz="6" w:space="0" w:color="auto"/>
            </w:tcBorders>
          </w:tcPr>
          <w:p w:rsidR="00DD42F8" w:rsidRPr="00DD42F8" w:rsidRDefault="00DD42F8" w:rsidP="0071675D">
            <w:pPr>
              <w:spacing w:line="288" w:lineRule="auto"/>
              <w:jc w:val="right"/>
              <w:rPr>
                <w:lang w:val="en-US"/>
              </w:rPr>
            </w:pPr>
            <w:r>
              <w:rPr>
                <w:lang w:val="en-US"/>
              </w:rPr>
              <w:t>11.</w:t>
            </w:r>
          </w:p>
        </w:tc>
        <w:tc>
          <w:tcPr>
            <w:tcW w:w="5247" w:type="dxa"/>
            <w:tcBorders>
              <w:top w:val="single" w:sz="6" w:space="0" w:color="auto"/>
              <w:left w:val="single" w:sz="6" w:space="0" w:color="auto"/>
              <w:bottom w:val="single" w:sz="6" w:space="0" w:color="auto"/>
              <w:right w:val="single" w:sz="6" w:space="0" w:color="auto"/>
            </w:tcBorders>
          </w:tcPr>
          <w:p w:rsidR="00DD42F8" w:rsidRPr="00377292" w:rsidRDefault="00DD42F8" w:rsidP="0071675D">
            <w:pPr>
              <w:spacing w:line="288" w:lineRule="auto"/>
            </w:pPr>
            <w:r w:rsidRPr="00C62311">
              <w:t>Дълготрайни нематериални  активи</w:t>
            </w:r>
          </w:p>
        </w:tc>
        <w:tc>
          <w:tcPr>
            <w:tcW w:w="1775" w:type="dxa"/>
            <w:tcBorders>
              <w:top w:val="single" w:sz="6" w:space="0" w:color="auto"/>
              <w:left w:val="single" w:sz="6" w:space="0" w:color="auto"/>
              <w:bottom w:val="single" w:sz="6" w:space="0" w:color="auto"/>
              <w:right w:val="single" w:sz="6" w:space="0" w:color="auto"/>
            </w:tcBorders>
          </w:tcPr>
          <w:p w:rsidR="00DD42F8" w:rsidRPr="00DD42F8" w:rsidRDefault="00DD42F8" w:rsidP="0071675D">
            <w:pPr>
              <w:spacing w:line="288" w:lineRule="auto"/>
              <w:jc w:val="right"/>
              <w:rPr>
                <w:lang w:val="en-US"/>
              </w:rPr>
            </w:pPr>
            <w:r>
              <w:rPr>
                <w:lang w:val="en-US"/>
              </w:rPr>
              <w:t>99</w:t>
            </w:r>
          </w:p>
        </w:tc>
      </w:tr>
    </w:tbl>
    <w:p w:rsidR="00AD57D4" w:rsidRPr="00C62311" w:rsidRDefault="00AD57D4" w:rsidP="00AD57D4">
      <w:pPr>
        <w:ind w:right="181" w:firstLine="567"/>
        <w:jc w:val="both"/>
        <w:rPr>
          <w:b/>
          <w:bCs/>
          <w:i/>
          <w:iCs/>
        </w:rPr>
      </w:pPr>
    </w:p>
    <w:p w:rsidR="001B6F66" w:rsidRDefault="001B6F66" w:rsidP="002C54DD">
      <w:pPr>
        <w:ind w:right="181" w:firstLine="567"/>
        <w:jc w:val="both"/>
        <w:rPr>
          <w:b/>
          <w:bCs/>
        </w:rPr>
      </w:pPr>
    </w:p>
    <w:p w:rsidR="00AD57D4" w:rsidRPr="00C62311" w:rsidRDefault="00AD57D4" w:rsidP="002C54DD">
      <w:pPr>
        <w:ind w:right="181" w:firstLine="567"/>
        <w:jc w:val="both"/>
        <w:rPr>
          <w:b/>
          <w:bCs/>
        </w:rPr>
      </w:pPr>
      <w:r w:rsidRPr="00C62311">
        <w:rPr>
          <w:b/>
          <w:bCs/>
        </w:rPr>
        <w:t>Финансово-икономически показатели за 2016 г. спрямо 2015 г.:</w:t>
      </w:r>
    </w:p>
    <w:p w:rsidR="00AD57D4" w:rsidRPr="00C62311" w:rsidRDefault="00AD57D4" w:rsidP="00AD57D4">
      <w:pPr>
        <w:tabs>
          <w:tab w:val="left" w:pos="180"/>
        </w:tabs>
        <w:ind w:left="180" w:right="114"/>
        <w:jc w:val="both"/>
        <w:rPr>
          <w:i/>
          <w:iCs/>
        </w:rPr>
      </w:pPr>
      <w:r w:rsidRPr="00C62311">
        <w:tab/>
      </w:r>
      <w:r w:rsidRPr="00C62311">
        <w:tab/>
      </w:r>
      <w:r w:rsidRPr="00C62311">
        <w:tab/>
      </w:r>
      <w:r w:rsidRPr="00C62311">
        <w:tab/>
      </w:r>
      <w:r w:rsidRPr="00C62311">
        <w:tab/>
      </w:r>
      <w:r w:rsidRPr="00C62311">
        <w:tab/>
      </w:r>
      <w:r w:rsidRPr="00C62311">
        <w:tab/>
      </w:r>
      <w:r w:rsidRPr="00C62311">
        <w:tab/>
      </w:r>
      <w:r w:rsidRPr="00C62311">
        <w:tab/>
      </w:r>
      <w:r w:rsidRPr="00C62311">
        <w:tab/>
      </w:r>
      <w:r w:rsidRPr="00C62311">
        <w:tab/>
      </w:r>
      <w:r w:rsidRPr="00C62311">
        <w:tab/>
        <w:t xml:space="preserve">    </w:t>
      </w:r>
      <w:r w:rsidRPr="00C62311">
        <w:rPr>
          <w:i/>
          <w:iCs/>
        </w:rPr>
        <w:t>(хил.лв.)</w:t>
      </w:r>
    </w:p>
    <w:tbl>
      <w:tblPr>
        <w:tblW w:w="10491" w:type="dxa"/>
        <w:tblInd w:w="-356" w:type="dxa"/>
        <w:tblLayout w:type="fixed"/>
        <w:tblCellMar>
          <w:left w:w="70" w:type="dxa"/>
          <w:right w:w="70" w:type="dxa"/>
        </w:tblCellMar>
        <w:tblLook w:val="04A0" w:firstRow="1" w:lastRow="0" w:firstColumn="1" w:lastColumn="0" w:noHBand="0" w:noVBand="1"/>
      </w:tblPr>
      <w:tblGrid>
        <w:gridCol w:w="1702"/>
        <w:gridCol w:w="4394"/>
        <w:gridCol w:w="1134"/>
        <w:gridCol w:w="993"/>
        <w:gridCol w:w="1134"/>
        <w:gridCol w:w="1134"/>
      </w:tblGrid>
      <w:tr w:rsidR="00AD57D4" w:rsidRPr="00C62311" w:rsidTr="005A2AAE">
        <w:trPr>
          <w:trHeight w:val="299"/>
        </w:trPr>
        <w:tc>
          <w:tcPr>
            <w:tcW w:w="170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D57D4" w:rsidRPr="00C62311" w:rsidRDefault="00AD57D4" w:rsidP="0071675D">
            <w:pPr>
              <w:jc w:val="center"/>
              <w:rPr>
                <w:b/>
                <w:bCs/>
              </w:rPr>
            </w:pPr>
            <w:r w:rsidRPr="00C62311">
              <w:rPr>
                <w:b/>
                <w:bCs/>
              </w:rPr>
              <w:t>N:</w:t>
            </w:r>
          </w:p>
        </w:tc>
        <w:tc>
          <w:tcPr>
            <w:tcW w:w="439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D57D4" w:rsidRPr="00C62311" w:rsidRDefault="00AD57D4" w:rsidP="0071675D">
            <w:pPr>
              <w:jc w:val="center"/>
              <w:rPr>
                <w:b/>
                <w:bCs/>
              </w:rPr>
            </w:pPr>
            <w:r w:rsidRPr="00C62311">
              <w:rPr>
                <w:b/>
                <w:bCs/>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7D4" w:rsidRPr="00C62311" w:rsidRDefault="00AD57D4" w:rsidP="0071675D">
            <w:pPr>
              <w:jc w:val="center"/>
              <w:rPr>
                <w:b/>
                <w:bCs/>
              </w:rPr>
            </w:pPr>
            <w:r w:rsidRPr="00C62311">
              <w:rPr>
                <w:b/>
                <w:bCs/>
              </w:rPr>
              <w:t>2016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7D4" w:rsidRPr="00C62311" w:rsidRDefault="00AD57D4" w:rsidP="0071675D">
            <w:pPr>
              <w:jc w:val="center"/>
              <w:rPr>
                <w:b/>
                <w:bCs/>
              </w:rPr>
            </w:pPr>
            <w:r w:rsidRPr="00C62311">
              <w:rPr>
                <w:b/>
                <w:bCs/>
              </w:rPr>
              <w:t>2015</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7D4" w:rsidRPr="00C62311" w:rsidRDefault="00AD57D4" w:rsidP="0071675D">
            <w:pPr>
              <w:jc w:val="center"/>
              <w:rPr>
                <w:b/>
                <w:bCs/>
              </w:rPr>
            </w:pPr>
            <w:r w:rsidRPr="00C62311">
              <w:rPr>
                <w:b/>
                <w:bCs/>
              </w:rPr>
              <w:t>2016/2015</w:t>
            </w:r>
          </w:p>
        </w:tc>
      </w:tr>
      <w:tr w:rsidR="00AD57D4" w:rsidRPr="00C62311" w:rsidTr="005A2AAE">
        <w:trPr>
          <w:trHeight w:val="299"/>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AD57D4" w:rsidRPr="00C62311" w:rsidRDefault="00AD57D4" w:rsidP="0071675D">
            <w:pPr>
              <w:rPr>
                <w:b/>
                <w:bCs/>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AD57D4" w:rsidRPr="00C62311" w:rsidRDefault="00AD57D4" w:rsidP="0071675D">
            <w:pPr>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D57D4" w:rsidRPr="00C62311" w:rsidRDefault="00AD57D4" w:rsidP="0071675D">
            <w:pPr>
              <w:rPr>
                <w:b/>
                <w:b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D57D4" w:rsidRPr="00C62311" w:rsidRDefault="00AD57D4" w:rsidP="0071675D">
            <w:pPr>
              <w:rPr>
                <w:b/>
                <w:bC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D57D4" w:rsidRPr="00C62311" w:rsidRDefault="00AD57D4" w:rsidP="0071675D">
            <w:pPr>
              <w:rPr>
                <w:b/>
                <w:bCs/>
              </w:rPr>
            </w:pPr>
          </w:p>
        </w:tc>
      </w:tr>
      <w:tr w:rsidR="00AD57D4" w:rsidRPr="00C62311" w:rsidTr="005A2AAE">
        <w:trPr>
          <w:trHeight w:val="270"/>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AD57D4" w:rsidRPr="00C62311" w:rsidRDefault="00AD57D4" w:rsidP="0071675D">
            <w:pPr>
              <w:rPr>
                <w:b/>
                <w:bCs/>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AD57D4" w:rsidRPr="00C62311" w:rsidRDefault="00AD57D4" w:rsidP="0071675D">
            <w:pPr>
              <w:rPr>
                <w:b/>
                <w:bCs/>
              </w:rPr>
            </w:pPr>
          </w:p>
        </w:tc>
        <w:tc>
          <w:tcPr>
            <w:tcW w:w="1134" w:type="dxa"/>
            <w:tcBorders>
              <w:top w:val="nil"/>
              <w:left w:val="nil"/>
              <w:bottom w:val="single" w:sz="4" w:space="0" w:color="auto"/>
              <w:right w:val="single" w:sz="4" w:space="0" w:color="auto"/>
            </w:tcBorders>
            <w:shd w:val="clear" w:color="auto" w:fill="auto"/>
            <w:vAlign w:val="center"/>
            <w:hideMark/>
          </w:tcPr>
          <w:p w:rsidR="00AD57D4" w:rsidRPr="00C62311" w:rsidRDefault="00AD57D4" w:rsidP="0071675D">
            <w:pPr>
              <w:jc w:val="center"/>
              <w:rPr>
                <w:b/>
                <w:bCs/>
              </w:rPr>
            </w:pPr>
            <w:r w:rsidRPr="00C62311">
              <w:rPr>
                <w:b/>
                <w:bCs/>
              </w:rPr>
              <w:t xml:space="preserve"> година</w:t>
            </w:r>
          </w:p>
        </w:tc>
        <w:tc>
          <w:tcPr>
            <w:tcW w:w="993" w:type="dxa"/>
            <w:tcBorders>
              <w:top w:val="nil"/>
              <w:left w:val="nil"/>
              <w:bottom w:val="single" w:sz="4" w:space="0" w:color="auto"/>
              <w:right w:val="single" w:sz="4" w:space="0" w:color="auto"/>
            </w:tcBorders>
            <w:shd w:val="clear" w:color="auto" w:fill="auto"/>
            <w:vAlign w:val="center"/>
            <w:hideMark/>
          </w:tcPr>
          <w:p w:rsidR="00AD57D4" w:rsidRPr="00C62311" w:rsidRDefault="00FA2D3B" w:rsidP="00FA2D3B">
            <w:pPr>
              <w:rPr>
                <w:b/>
                <w:bCs/>
              </w:rPr>
            </w:pPr>
            <w:r>
              <w:rPr>
                <w:b/>
                <w:bCs/>
              </w:rPr>
              <w:t>г</w:t>
            </w:r>
            <w:r w:rsidR="00AD57D4" w:rsidRPr="00C62311">
              <w:rPr>
                <w:b/>
                <w:bCs/>
              </w:rPr>
              <w:t>одина</w:t>
            </w:r>
          </w:p>
        </w:tc>
        <w:tc>
          <w:tcPr>
            <w:tcW w:w="1134" w:type="dxa"/>
            <w:tcBorders>
              <w:top w:val="nil"/>
              <w:left w:val="nil"/>
              <w:bottom w:val="single" w:sz="4" w:space="0" w:color="auto"/>
              <w:right w:val="single" w:sz="4" w:space="0" w:color="auto"/>
            </w:tcBorders>
            <w:shd w:val="clear" w:color="auto" w:fill="auto"/>
            <w:vAlign w:val="center"/>
            <w:hideMark/>
          </w:tcPr>
          <w:p w:rsidR="00AD57D4" w:rsidRPr="00C62311" w:rsidRDefault="00AD57D4" w:rsidP="00FA2D3B">
            <w:pPr>
              <w:rPr>
                <w:b/>
                <w:bCs/>
              </w:rPr>
            </w:pPr>
            <w:r w:rsidRPr="00C62311">
              <w:rPr>
                <w:b/>
                <w:bCs/>
              </w:rPr>
              <w:t>стойност</w:t>
            </w:r>
          </w:p>
        </w:tc>
        <w:tc>
          <w:tcPr>
            <w:tcW w:w="1134" w:type="dxa"/>
            <w:tcBorders>
              <w:top w:val="nil"/>
              <w:left w:val="nil"/>
              <w:bottom w:val="single" w:sz="4" w:space="0" w:color="auto"/>
              <w:right w:val="single" w:sz="4" w:space="0" w:color="auto"/>
            </w:tcBorders>
            <w:shd w:val="clear" w:color="auto" w:fill="auto"/>
            <w:vAlign w:val="center"/>
            <w:hideMark/>
          </w:tcPr>
          <w:p w:rsidR="00AD57D4" w:rsidRPr="00C62311" w:rsidRDefault="00AD57D4" w:rsidP="0071675D">
            <w:pPr>
              <w:jc w:val="center"/>
              <w:rPr>
                <w:b/>
                <w:bCs/>
              </w:rPr>
            </w:pPr>
            <w:r w:rsidRPr="00C62311">
              <w:rPr>
                <w:b/>
                <w:bCs/>
              </w:rPr>
              <w:t>процент</w:t>
            </w:r>
          </w:p>
        </w:tc>
      </w:tr>
      <w:tr w:rsidR="00AD57D4" w:rsidRPr="00C62311" w:rsidTr="005A2AAE">
        <w:trPr>
          <w:trHeight w:val="381"/>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1</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Финансов резултат</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EF3E54" w:rsidP="0071675D">
            <w:pPr>
              <w:jc w:val="right"/>
              <w:rPr>
                <w:lang w:val="en-US"/>
              </w:rPr>
            </w:pPr>
            <w:r>
              <w:t>-</w:t>
            </w:r>
            <w:r w:rsidR="005A2AAE">
              <w:t>6</w:t>
            </w:r>
            <w:r>
              <w:rPr>
                <w:lang w:val="en-US"/>
              </w:rPr>
              <w:t>9</w:t>
            </w:r>
          </w:p>
        </w:tc>
        <w:tc>
          <w:tcPr>
            <w:tcW w:w="993" w:type="dxa"/>
            <w:tcBorders>
              <w:top w:val="nil"/>
              <w:left w:val="nil"/>
              <w:bottom w:val="single" w:sz="4" w:space="0" w:color="auto"/>
              <w:right w:val="single" w:sz="4" w:space="0" w:color="auto"/>
            </w:tcBorders>
            <w:shd w:val="clear" w:color="000000" w:fill="FFFFFF"/>
            <w:noWrap/>
            <w:vAlign w:val="bottom"/>
          </w:tcPr>
          <w:p w:rsidR="00AD57D4" w:rsidRPr="00EF3E54" w:rsidRDefault="00EF3E54" w:rsidP="0071675D">
            <w:pPr>
              <w:jc w:val="right"/>
              <w:rPr>
                <w:lang w:val="en-US"/>
              </w:rPr>
            </w:pPr>
            <w:r>
              <w:rPr>
                <w:lang w:val="en-US"/>
              </w:rPr>
              <w:t>26</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5A2AAE" w:rsidP="00EF3E54">
            <w:pPr>
              <w:jc w:val="right"/>
              <w:rPr>
                <w:lang w:val="en-US"/>
              </w:rPr>
            </w:pPr>
            <w:r>
              <w:t>-</w:t>
            </w:r>
            <w:r w:rsidR="00EF3E54">
              <w:rPr>
                <w:lang w:val="en-US"/>
              </w:rPr>
              <w:t>95</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EF3E54" w:rsidP="00EF3E54">
            <w:pPr>
              <w:jc w:val="right"/>
              <w:rPr>
                <w:lang w:val="en-US"/>
              </w:rPr>
            </w:pPr>
            <w:r>
              <w:t>-</w:t>
            </w:r>
            <w:r>
              <w:rPr>
                <w:lang w:val="en-US"/>
              </w:rPr>
              <w:t>365.4</w:t>
            </w:r>
          </w:p>
        </w:tc>
      </w:tr>
      <w:tr w:rsidR="00AD57D4" w:rsidRPr="00C62311" w:rsidTr="005A2AAE">
        <w:trPr>
          <w:trHeight w:val="255"/>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2</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Нетен размер на приходите от продажби</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960980" w:rsidP="0071675D">
            <w:pPr>
              <w:jc w:val="right"/>
            </w:pPr>
            <w:r>
              <w:t>4666</w:t>
            </w: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960980" w:rsidP="0071675D">
            <w:pPr>
              <w:jc w:val="right"/>
            </w:pPr>
            <w:r>
              <w:t>4558</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960980" w:rsidP="0071675D">
            <w:pPr>
              <w:jc w:val="right"/>
            </w:pPr>
            <w:r>
              <w:t>108</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EF3E54" w:rsidP="0071675D">
            <w:pPr>
              <w:jc w:val="right"/>
            </w:pPr>
            <w:r>
              <w:t>2</w:t>
            </w:r>
            <w:r>
              <w:rPr>
                <w:lang w:val="en-US"/>
              </w:rPr>
              <w:t>.</w:t>
            </w:r>
            <w:r w:rsidR="00960980">
              <w:t>4</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3</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Собствен капитал</w:t>
            </w:r>
          </w:p>
        </w:tc>
        <w:tc>
          <w:tcPr>
            <w:tcW w:w="1134" w:type="dxa"/>
            <w:tcBorders>
              <w:top w:val="nil"/>
              <w:left w:val="nil"/>
              <w:bottom w:val="single" w:sz="4" w:space="0" w:color="auto"/>
              <w:right w:val="single" w:sz="4" w:space="0" w:color="auto"/>
            </w:tcBorders>
            <w:shd w:val="clear" w:color="000000" w:fill="FFFFFF"/>
            <w:noWrap/>
            <w:vAlign w:val="bottom"/>
          </w:tcPr>
          <w:p w:rsidR="00AD57D4" w:rsidRPr="00AD19F5" w:rsidRDefault="00AD19F5" w:rsidP="0071675D">
            <w:pPr>
              <w:jc w:val="right"/>
              <w:rPr>
                <w:lang w:val="en-US"/>
              </w:rPr>
            </w:pPr>
            <w:r>
              <w:rPr>
                <w:lang w:val="en-US"/>
              </w:rPr>
              <w:t>46</w:t>
            </w:r>
          </w:p>
        </w:tc>
        <w:tc>
          <w:tcPr>
            <w:tcW w:w="993" w:type="dxa"/>
            <w:tcBorders>
              <w:top w:val="nil"/>
              <w:left w:val="nil"/>
              <w:bottom w:val="single" w:sz="4" w:space="0" w:color="auto"/>
              <w:right w:val="single" w:sz="4" w:space="0" w:color="auto"/>
            </w:tcBorders>
            <w:shd w:val="clear" w:color="000000" w:fill="FFFFFF"/>
            <w:noWrap/>
            <w:vAlign w:val="bottom"/>
          </w:tcPr>
          <w:p w:rsidR="00AD57D4" w:rsidRPr="00AD19F5" w:rsidRDefault="00AD19F5" w:rsidP="0071675D">
            <w:pPr>
              <w:jc w:val="right"/>
              <w:rPr>
                <w:lang w:val="en-US"/>
              </w:rPr>
            </w:pPr>
            <w:r>
              <w:rPr>
                <w:lang w:val="en-US"/>
              </w:rPr>
              <w:t>115</w:t>
            </w:r>
          </w:p>
        </w:tc>
        <w:tc>
          <w:tcPr>
            <w:tcW w:w="1134" w:type="dxa"/>
            <w:tcBorders>
              <w:top w:val="nil"/>
              <w:left w:val="nil"/>
              <w:bottom w:val="single" w:sz="4" w:space="0" w:color="auto"/>
              <w:right w:val="single" w:sz="4" w:space="0" w:color="auto"/>
            </w:tcBorders>
            <w:shd w:val="clear" w:color="000000" w:fill="FFFFFF"/>
            <w:noWrap/>
            <w:vAlign w:val="bottom"/>
          </w:tcPr>
          <w:p w:rsidR="00AD57D4" w:rsidRPr="00AD19F5" w:rsidRDefault="00AD19F5" w:rsidP="0071675D">
            <w:pPr>
              <w:jc w:val="right"/>
              <w:rPr>
                <w:lang w:val="en-US"/>
              </w:rPr>
            </w:pPr>
            <w:r>
              <w:rPr>
                <w:lang w:val="en-US"/>
              </w:rPr>
              <w:t>-69</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AD19F5" w:rsidP="0071675D">
            <w:pPr>
              <w:jc w:val="right"/>
              <w:rPr>
                <w:lang w:val="en-US"/>
              </w:rPr>
            </w:pPr>
            <w:r>
              <w:rPr>
                <w:lang w:val="en-US"/>
              </w:rPr>
              <w:t>-6</w:t>
            </w:r>
            <w:r w:rsidR="00EF3E54">
              <w:t>0</w:t>
            </w:r>
            <w:r w:rsidR="00EF3E54">
              <w:rPr>
                <w:lang w:val="en-US"/>
              </w:rPr>
              <w:t>.</w:t>
            </w:r>
            <w:r w:rsidR="00960980">
              <w:t>0</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4</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Пасиви (дългосрочни и краткосрочни)</w:t>
            </w:r>
          </w:p>
        </w:tc>
        <w:tc>
          <w:tcPr>
            <w:tcW w:w="1134" w:type="dxa"/>
            <w:tcBorders>
              <w:top w:val="nil"/>
              <w:left w:val="nil"/>
              <w:bottom w:val="single" w:sz="4" w:space="0" w:color="auto"/>
              <w:right w:val="single" w:sz="4" w:space="0" w:color="auto"/>
            </w:tcBorders>
            <w:shd w:val="clear" w:color="000000" w:fill="FFFFFF"/>
            <w:noWrap/>
            <w:vAlign w:val="bottom"/>
          </w:tcPr>
          <w:p w:rsidR="00AD57D4" w:rsidRPr="00AD19F5" w:rsidRDefault="00AD19F5" w:rsidP="00EF3E54">
            <w:pPr>
              <w:jc w:val="right"/>
              <w:rPr>
                <w:lang w:val="en-US"/>
              </w:rPr>
            </w:pPr>
            <w:r>
              <w:rPr>
                <w:lang w:val="en-US"/>
              </w:rPr>
              <w:t>1157</w:t>
            </w:r>
          </w:p>
        </w:tc>
        <w:tc>
          <w:tcPr>
            <w:tcW w:w="993" w:type="dxa"/>
            <w:tcBorders>
              <w:top w:val="nil"/>
              <w:left w:val="nil"/>
              <w:bottom w:val="single" w:sz="4" w:space="0" w:color="auto"/>
              <w:right w:val="single" w:sz="4" w:space="0" w:color="auto"/>
            </w:tcBorders>
            <w:shd w:val="clear" w:color="000000" w:fill="FFFFFF"/>
            <w:noWrap/>
            <w:vAlign w:val="bottom"/>
          </w:tcPr>
          <w:p w:rsidR="00AD57D4" w:rsidRPr="00AD19F5" w:rsidRDefault="00960980" w:rsidP="0071675D">
            <w:pPr>
              <w:jc w:val="right"/>
              <w:rPr>
                <w:lang w:val="en-US"/>
              </w:rPr>
            </w:pPr>
            <w:r>
              <w:t>1</w:t>
            </w:r>
            <w:r w:rsidR="00AD19F5">
              <w:rPr>
                <w:lang w:val="en-US"/>
              </w:rPr>
              <w:t>004</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AD19F5" w:rsidP="0071675D">
            <w:pPr>
              <w:jc w:val="right"/>
              <w:rPr>
                <w:lang w:val="en-US"/>
              </w:rPr>
            </w:pPr>
            <w:r>
              <w:rPr>
                <w:lang w:val="en-US"/>
              </w:rPr>
              <w:t>153</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EF3E54" w:rsidP="00AD19F5">
            <w:pPr>
              <w:jc w:val="right"/>
              <w:rPr>
                <w:lang w:val="en-US"/>
              </w:rPr>
            </w:pPr>
            <w:r>
              <w:rPr>
                <w:lang w:val="en-US"/>
              </w:rPr>
              <w:t>1</w:t>
            </w:r>
            <w:r w:rsidR="00AD19F5">
              <w:rPr>
                <w:lang w:val="en-US"/>
              </w:rPr>
              <w:t>5</w:t>
            </w:r>
            <w:r>
              <w:rPr>
                <w:lang w:val="en-US"/>
              </w:rPr>
              <w:t>.</w:t>
            </w:r>
            <w:r w:rsidR="00AD19F5">
              <w:rPr>
                <w:lang w:val="en-US"/>
              </w:rPr>
              <w:t>2</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5</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Обща сума на активите</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960980" w:rsidP="0071675D">
            <w:pPr>
              <w:jc w:val="right"/>
            </w:pPr>
            <w:r>
              <w:t>1203</w:t>
            </w:r>
          </w:p>
        </w:tc>
        <w:tc>
          <w:tcPr>
            <w:tcW w:w="993" w:type="dxa"/>
            <w:tcBorders>
              <w:top w:val="nil"/>
              <w:left w:val="nil"/>
              <w:bottom w:val="single" w:sz="4" w:space="0" w:color="auto"/>
              <w:right w:val="single" w:sz="4" w:space="0" w:color="auto"/>
            </w:tcBorders>
            <w:shd w:val="clear" w:color="000000" w:fill="FFFFFF"/>
            <w:noWrap/>
            <w:vAlign w:val="bottom"/>
          </w:tcPr>
          <w:p w:rsidR="00AD57D4" w:rsidRPr="00EF3E54" w:rsidRDefault="00960980" w:rsidP="00EF3E54">
            <w:pPr>
              <w:jc w:val="right"/>
              <w:rPr>
                <w:lang w:val="en-US"/>
              </w:rPr>
            </w:pPr>
            <w:r>
              <w:t>1</w:t>
            </w:r>
            <w:r w:rsidR="00EF3E54">
              <w:rPr>
                <w:lang w:val="en-US"/>
              </w:rPr>
              <w:t>119</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EF3E54" w:rsidP="0071675D">
            <w:pPr>
              <w:jc w:val="right"/>
              <w:rPr>
                <w:lang w:val="en-US"/>
              </w:rPr>
            </w:pPr>
            <w:r>
              <w:rPr>
                <w:lang w:val="en-US"/>
              </w:rPr>
              <w:t>84</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EF3E54" w:rsidP="00EF3E54">
            <w:pPr>
              <w:jc w:val="right"/>
              <w:rPr>
                <w:lang w:val="en-US"/>
              </w:rPr>
            </w:pPr>
            <w:r>
              <w:rPr>
                <w:lang w:val="en-US"/>
              </w:rPr>
              <w:t>7</w:t>
            </w:r>
            <w:r w:rsidR="00960980">
              <w:t>,</w:t>
            </w:r>
            <w:r>
              <w:rPr>
                <w:lang w:val="en-US"/>
              </w:rPr>
              <w:t>5</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6</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Приходи</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960980" w:rsidP="0071675D">
            <w:pPr>
              <w:jc w:val="right"/>
            </w:pPr>
            <w:r>
              <w:t>4992</w:t>
            </w: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960980" w:rsidP="0071675D">
            <w:pPr>
              <w:jc w:val="right"/>
            </w:pPr>
            <w:r>
              <w:t>4826</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960980" w:rsidP="0071675D">
            <w:pPr>
              <w:jc w:val="right"/>
            </w:pPr>
            <w:r>
              <w:t>166</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960980" w:rsidP="0071675D">
            <w:pPr>
              <w:jc w:val="right"/>
            </w:pPr>
            <w:r>
              <w:t>3,4</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7</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Разходи</w:t>
            </w:r>
          </w:p>
        </w:tc>
        <w:tc>
          <w:tcPr>
            <w:tcW w:w="1134" w:type="dxa"/>
            <w:tcBorders>
              <w:top w:val="nil"/>
              <w:left w:val="nil"/>
              <w:bottom w:val="single" w:sz="4" w:space="0" w:color="auto"/>
              <w:right w:val="single" w:sz="4" w:space="0" w:color="auto"/>
            </w:tcBorders>
            <w:shd w:val="clear" w:color="000000" w:fill="FFFFFF"/>
            <w:noWrap/>
            <w:vAlign w:val="bottom"/>
          </w:tcPr>
          <w:p w:rsidR="00AD57D4" w:rsidRPr="00DD42F8" w:rsidRDefault="00960980" w:rsidP="00DD42F8">
            <w:pPr>
              <w:jc w:val="right"/>
              <w:rPr>
                <w:lang w:val="en-US"/>
              </w:rPr>
            </w:pPr>
            <w:r w:rsidRPr="00DD42F8">
              <w:t>50</w:t>
            </w:r>
            <w:r w:rsidR="00DD42F8" w:rsidRPr="00DD42F8">
              <w:rPr>
                <w:lang w:val="en-US"/>
              </w:rPr>
              <w:t>72</w:t>
            </w:r>
          </w:p>
        </w:tc>
        <w:tc>
          <w:tcPr>
            <w:tcW w:w="993" w:type="dxa"/>
            <w:tcBorders>
              <w:top w:val="nil"/>
              <w:left w:val="nil"/>
              <w:bottom w:val="single" w:sz="4" w:space="0" w:color="auto"/>
              <w:right w:val="single" w:sz="4" w:space="0" w:color="auto"/>
            </w:tcBorders>
            <w:shd w:val="clear" w:color="000000" w:fill="FFFFFF"/>
            <w:noWrap/>
            <w:vAlign w:val="bottom"/>
          </w:tcPr>
          <w:p w:rsidR="00AD57D4" w:rsidRPr="00DD42F8" w:rsidRDefault="00960980" w:rsidP="00DD42F8">
            <w:pPr>
              <w:jc w:val="right"/>
              <w:rPr>
                <w:lang w:val="en-US"/>
              </w:rPr>
            </w:pPr>
            <w:r w:rsidRPr="00DD42F8">
              <w:t>48</w:t>
            </w:r>
            <w:r w:rsidR="00DD42F8" w:rsidRPr="00DD42F8">
              <w:rPr>
                <w:lang w:val="en-US"/>
              </w:rPr>
              <w:t>17</w:t>
            </w:r>
          </w:p>
        </w:tc>
        <w:tc>
          <w:tcPr>
            <w:tcW w:w="1134" w:type="dxa"/>
            <w:tcBorders>
              <w:top w:val="nil"/>
              <w:left w:val="nil"/>
              <w:bottom w:val="single" w:sz="4" w:space="0" w:color="auto"/>
              <w:right w:val="single" w:sz="4" w:space="0" w:color="auto"/>
            </w:tcBorders>
            <w:shd w:val="clear" w:color="000000" w:fill="FFFFFF"/>
            <w:noWrap/>
            <w:vAlign w:val="bottom"/>
          </w:tcPr>
          <w:p w:rsidR="00AD57D4" w:rsidRPr="00DD42F8" w:rsidRDefault="00960980" w:rsidP="00DD42F8">
            <w:pPr>
              <w:jc w:val="right"/>
              <w:rPr>
                <w:lang w:val="en-US"/>
              </w:rPr>
            </w:pPr>
            <w:r w:rsidRPr="00DD42F8">
              <w:t>2</w:t>
            </w:r>
            <w:r w:rsidR="00DD42F8" w:rsidRPr="00DD42F8">
              <w:rPr>
                <w:lang w:val="en-US"/>
              </w:rPr>
              <w:t>55</w:t>
            </w:r>
          </w:p>
        </w:tc>
        <w:tc>
          <w:tcPr>
            <w:tcW w:w="1134" w:type="dxa"/>
            <w:tcBorders>
              <w:top w:val="nil"/>
              <w:left w:val="nil"/>
              <w:bottom w:val="single" w:sz="4" w:space="0" w:color="auto"/>
              <w:right w:val="single" w:sz="4" w:space="0" w:color="auto"/>
            </w:tcBorders>
            <w:shd w:val="clear" w:color="000000" w:fill="FFFFFF"/>
            <w:noWrap/>
            <w:vAlign w:val="bottom"/>
          </w:tcPr>
          <w:p w:rsidR="00AD57D4" w:rsidRPr="00DD42F8" w:rsidRDefault="00960980" w:rsidP="0071675D">
            <w:pPr>
              <w:jc w:val="right"/>
              <w:rPr>
                <w:lang w:val="en-US"/>
              </w:rPr>
            </w:pPr>
            <w:r w:rsidRPr="00DD42F8">
              <w:t>5,</w:t>
            </w:r>
            <w:r w:rsidR="00DD42F8" w:rsidRPr="00DD42F8">
              <w:rPr>
                <w:lang w:val="en-US"/>
              </w:rPr>
              <w:t>3</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8</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Краткотрайни активи</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960980" w:rsidP="0071675D">
            <w:pPr>
              <w:jc w:val="right"/>
            </w:pPr>
            <w:r>
              <w:t>92</w:t>
            </w: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960980" w:rsidP="0071675D">
            <w:pPr>
              <w:jc w:val="right"/>
            </w:pPr>
            <w:r>
              <w:t>46</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960980" w:rsidP="0071675D">
            <w:pPr>
              <w:jc w:val="right"/>
            </w:pPr>
            <w:r>
              <w:t>46</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960980" w:rsidP="0071675D">
            <w:pPr>
              <w:jc w:val="right"/>
            </w:pPr>
            <w:r>
              <w:t>100,00</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9</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Разходи за бъдещи периоди</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EF3E54" w:rsidP="0071675D">
            <w:pPr>
              <w:jc w:val="right"/>
              <w:rPr>
                <w:lang w:val="en-US"/>
              </w:rPr>
            </w:pPr>
            <w:r>
              <w:rPr>
                <w:lang w:val="en-US"/>
              </w:rPr>
              <w:t>1</w:t>
            </w:r>
          </w:p>
        </w:tc>
        <w:tc>
          <w:tcPr>
            <w:tcW w:w="993" w:type="dxa"/>
            <w:tcBorders>
              <w:top w:val="nil"/>
              <w:left w:val="nil"/>
              <w:bottom w:val="single" w:sz="4" w:space="0" w:color="auto"/>
              <w:right w:val="single" w:sz="4" w:space="0" w:color="auto"/>
            </w:tcBorders>
            <w:shd w:val="clear" w:color="000000" w:fill="FFFFFF"/>
            <w:noWrap/>
            <w:vAlign w:val="bottom"/>
          </w:tcPr>
          <w:p w:rsidR="00AD57D4" w:rsidRPr="00EF3E54" w:rsidRDefault="00EF3E54" w:rsidP="0071675D">
            <w:pPr>
              <w:jc w:val="right"/>
              <w:rPr>
                <w:lang w:val="en-US"/>
              </w:rPr>
            </w:pPr>
            <w:r>
              <w:rPr>
                <w:lang w:val="en-US"/>
              </w:rPr>
              <w:t>2</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-1</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right"/>
            </w:pP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10</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Краткосрочни задължения</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5</w:t>
            </w:r>
            <w:r w:rsidR="00EF3E54">
              <w:rPr>
                <w:lang w:val="en-US"/>
              </w:rPr>
              <w:t>51</w:t>
            </w: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471</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EF3E54" w:rsidP="0071675D">
            <w:pPr>
              <w:jc w:val="right"/>
              <w:rPr>
                <w:lang w:val="en-US"/>
              </w:rPr>
            </w:pPr>
            <w:r>
              <w:rPr>
                <w:lang w:val="en-US"/>
              </w:rPr>
              <w:t>80</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EF3E54" w:rsidP="0071675D">
            <w:pPr>
              <w:jc w:val="right"/>
              <w:rPr>
                <w:lang w:val="en-US"/>
              </w:rPr>
            </w:pPr>
            <w:r>
              <w:rPr>
                <w:lang w:val="en-US"/>
              </w:rPr>
              <w:t>17.0</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11</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Краткосрочни вземания</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36</w:t>
            </w:r>
            <w:r w:rsidR="00EF3E54">
              <w:rPr>
                <w:lang w:val="en-US"/>
              </w:rPr>
              <w:t>5</w:t>
            </w:r>
          </w:p>
        </w:tc>
        <w:tc>
          <w:tcPr>
            <w:tcW w:w="993"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35</w:t>
            </w:r>
            <w:r w:rsidR="00EF3E54">
              <w:rPr>
                <w:lang w:val="en-US"/>
              </w:rPr>
              <w:t>5</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71675D">
            <w:pPr>
              <w:jc w:val="right"/>
              <w:rPr>
                <w:lang w:val="en-US"/>
              </w:rPr>
            </w:pPr>
            <w:r>
              <w:t>1</w:t>
            </w:r>
            <w:r w:rsidR="00EF3E54">
              <w:rPr>
                <w:lang w:val="en-US"/>
              </w:rPr>
              <w:t>0</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EF3E54" w:rsidP="00EF3E54">
            <w:pPr>
              <w:jc w:val="right"/>
              <w:rPr>
                <w:lang w:val="en-US"/>
              </w:rPr>
            </w:pPr>
            <w:r>
              <w:rPr>
                <w:lang w:val="en-US"/>
              </w:rPr>
              <w:t>2</w:t>
            </w:r>
            <w:r w:rsidR="002E13F2">
              <w:t>,</w:t>
            </w:r>
            <w:r>
              <w:rPr>
                <w:lang w:val="en-US"/>
              </w:rPr>
              <w:t>8</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12</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Краткосрочни финансови активи</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0</w:t>
            </w: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0</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0</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0</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13</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Парични средства</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175</w:t>
            </w: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199</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-24</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-12,1</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rPr>
                <w:b/>
                <w:bCs/>
              </w:rPr>
            </w:pPr>
            <w:r w:rsidRPr="00C62311">
              <w:rPr>
                <w:b/>
                <w:bCs/>
              </w:rPr>
              <w:t>Рентабилност</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pPr>
              <w:jc w:val="center"/>
              <w:rPr>
                <w:b/>
                <w:bCs/>
              </w:rPr>
            </w:pPr>
            <w:r w:rsidRPr="00C62311">
              <w:rPr>
                <w:b/>
                <w:bCs/>
              </w:rPr>
              <w:t> </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14</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Коеф. на рентабилност на приходите</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C67E9" w:rsidP="00EF3E54">
            <w:pPr>
              <w:rPr>
                <w:lang w:val="en-US"/>
              </w:rPr>
            </w:pPr>
            <w:r>
              <w:t>-0,0</w:t>
            </w:r>
            <w:r w:rsidR="00EF3E54">
              <w:rPr>
                <w:lang w:val="en-US"/>
              </w:rPr>
              <w:t>148</w:t>
            </w:r>
          </w:p>
        </w:tc>
        <w:tc>
          <w:tcPr>
            <w:tcW w:w="993" w:type="dxa"/>
            <w:tcBorders>
              <w:top w:val="nil"/>
              <w:left w:val="nil"/>
              <w:bottom w:val="single" w:sz="4" w:space="0" w:color="auto"/>
              <w:right w:val="single" w:sz="4" w:space="0" w:color="auto"/>
            </w:tcBorders>
            <w:shd w:val="clear" w:color="000000" w:fill="FFFFFF"/>
            <w:noWrap/>
            <w:vAlign w:val="bottom"/>
          </w:tcPr>
          <w:p w:rsidR="00AD57D4" w:rsidRPr="00EF3E54" w:rsidRDefault="002C67E9" w:rsidP="00EF3E54">
            <w:pPr>
              <w:rPr>
                <w:lang w:val="en-US"/>
              </w:rPr>
            </w:pPr>
            <w:r>
              <w:t>0,00</w:t>
            </w:r>
            <w:r w:rsidR="00EF3E54">
              <w:rPr>
                <w:lang w:val="en-US"/>
              </w:rPr>
              <w:t>57</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C67E9" w:rsidP="00EF3E54">
            <w:pPr>
              <w:rPr>
                <w:lang w:val="en-US"/>
              </w:rPr>
            </w:pPr>
            <w:r>
              <w:t>-0,0</w:t>
            </w:r>
            <w:r w:rsidR="00EF3E54">
              <w:rPr>
                <w:lang w:val="en-US"/>
              </w:rPr>
              <w:t>205</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EF3E54" w:rsidP="00EF3E54">
            <w:pPr>
              <w:rPr>
                <w:lang w:val="en-US"/>
              </w:rPr>
            </w:pPr>
            <w:r>
              <w:rPr>
                <w:lang w:val="en-US"/>
              </w:rPr>
              <w:t xml:space="preserve">      </w:t>
            </w:r>
            <w:r w:rsidR="002C67E9">
              <w:t>-</w:t>
            </w:r>
            <w:r>
              <w:rPr>
                <w:lang w:val="en-US"/>
              </w:rPr>
              <w:t>359.2</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от продажби (1/2)</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right"/>
            </w:pP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right"/>
            </w:pP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right"/>
            </w:pP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right"/>
            </w:pP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15</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Коеф. на рентабилност на собствения</w:t>
            </w:r>
          </w:p>
        </w:tc>
        <w:tc>
          <w:tcPr>
            <w:tcW w:w="1134" w:type="dxa"/>
            <w:tcBorders>
              <w:top w:val="nil"/>
              <w:left w:val="nil"/>
              <w:bottom w:val="single" w:sz="4" w:space="0" w:color="auto"/>
              <w:right w:val="single" w:sz="4" w:space="0" w:color="auto"/>
            </w:tcBorders>
            <w:shd w:val="clear" w:color="000000" w:fill="FFFFFF"/>
            <w:noWrap/>
            <w:vAlign w:val="bottom"/>
          </w:tcPr>
          <w:p w:rsidR="00AD57D4" w:rsidRPr="00AD19F5" w:rsidRDefault="002E13F2" w:rsidP="00AD19F5">
            <w:pPr>
              <w:rPr>
                <w:lang w:val="en-US"/>
              </w:rPr>
            </w:pPr>
            <w:r>
              <w:t>-</w:t>
            </w:r>
            <w:r w:rsidR="00AD19F5">
              <w:rPr>
                <w:lang w:val="en-US"/>
              </w:rPr>
              <w:t>1</w:t>
            </w:r>
            <w:r>
              <w:t>,</w:t>
            </w:r>
            <w:r w:rsidR="00AD19F5">
              <w:rPr>
                <w:lang w:val="en-US"/>
              </w:rPr>
              <w:t>5000</w:t>
            </w:r>
          </w:p>
        </w:tc>
        <w:tc>
          <w:tcPr>
            <w:tcW w:w="993" w:type="dxa"/>
            <w:tcBorders>
              <w:top w:val="nil"/>
              <w:left w:val="nil"/>
              <w:bottom w:val="single" w:sz="4" w:space="0" w:color="auto"/>
              <w:right w:val="single" w:sz="4" w:space="0" w:color="auto"/>
            </w:tcBorders>
            <w:shd w:val="clear" w:color="000000" w:fill="FFFFFF"/>
            <w:noWrap/>
            <w:vAlign w:val="bottom"/>
          </w:tcPr>
          <w:p w:rsidR="00AD57D4" w:rsidRPr="00AD19F5" w:rsidRDefault="002E13F2" w:rsidP="00AD19F5">
            <w:pPr>
              <w:rPr>
                <w:lang w:val="en-US"/>
              </w:rPr>
            </w:pPr>
            <w:r>
              <w:t>0,</w:t>
            </w:r>
            <w:r w:rsidR="00AD19F5">
              <w:rPr>
                <w:lang w:val="en-US"/>
              </w:rPr>
              <w:t>2261</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AD19F5" w:rsidP="00AD19F5">
            <w:pPr>
              <w:rPr>
                <w:lang w:val="en-US"/>
              </w:rPr>
            </w:pPr>
            <w:r>
              <w:t>-</w:t>
            </w:r>
            <w:r>
              <w:rPr>
                <w:lang w:val="en-US"/>
              </w:rPr>
              <w:t>1</w:t>
            </w:r>
            <w:r w:rsidR="002E13F2">
              <w:t>,</w:t>
            </w:r>
            <w:r>
              <w:rPr>
                <w:lang w:val="en-US"/>
              </w:rPr>
              <w:t>7</w:t>
            </w:r>
            <w:r w:rsidR="00EF3E54">
              <w:rPr>
                <w:lang w:val="en-US"/>
              </w:rPr>
              <w:t>2</w:t>
            </w:r>
            <w:r>
              <w:rPr>
                <w:lang w:val="en-US"/>
              </w:rPr>
              <w:t>61</w:t>
            </w:r>
          </w:p>
        </w:tc>
        <w:tc>
          <w:tcPr>
            <w:tcW w:w="1134" w:type="dxa"/>
            <w:tcBorders>
              <w:top w:val="nil"/>
              <w:left w:val="nil"/>
              <w:bottom w:val="single" w:sz="4" w:space="0" w:color="auto"/>
              <w:right w:val="single" w:sz="4" w:space="0" w:color="auto"/>
            </w:tcBorders>
            <w:shd w:val="clear" w:color="auto" w:fill="auto"/>
            <w:noWrap/>
            <w:vAlign w:val="bottom"/>
          </w:tcPr>
          <w:p w:rsidR="00AD57D4" w:rsidRPr="00EF3E54" w:rsidRDefault="00EF3E54" w:rsidP="00AD19F5">
            <w:pPr>
              <w:rPr>
                <w:lang w:val="en-US"/>
              </w:rPr>
            </w:pPr>
            <w:r>
              <w:rPr>
                <w:lang w:val="en-US"/>
              </w:rPr>
              <w:t xml:space="preserve">      </w:t>
            </w:r>
            <w:r w:rsidR="002E13F2">
              <w:t>-</w:t>
            </w:r>
            <w:r w:rsidR="00AD19F5">
              <w:rPr>
                <w:lang w:val="en-US"/>
              </w:rPr>
              <w:t>7</w:t>
            </w:r>
            <w:r>
              <w:rPr>
                <w:lang w:val="en-US"/>
              </w:rPr>
              <w:t>6</w:t>
            </w:r>
            <w:r w:rsidR="00AD19F5">
              <w:rPr>
                <w:lang w:val="en-US"/>
              </w:rPr>
              <w:t>3</w:t>
            </w:r>
            <w:r w:rsidR="002E13F2">
              <w:t>,</w:t>
            </w:r>
            <w:r w:rsidR="00AD19F5">
              <w:rPr>
                <w:lang w:val="en-US"/>
              </w:rPr>
              <w:t>5</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капитал (1/3)</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right"/>
            </w:pP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right"/>
            </w:pP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right"/>
            </w:pP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right"/>
            </w:pP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16</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Коеф. на рентабилност на пасивите (1/4)</w:t>
            </w:r>
          </w:p>
        </w:tc>
        <w:tc>
          <w:tcPr>
            <w:tcW w:w="1134" w:type="dxa"/>
            <w:tcBorders>
              <w:top w:val="nil"/>
              <w:left w:val="nil"/>
              <w:bottom w:val="single" w:sz="4" w:space="0" w:color="auto"/>
              <w:right w:val="single" w:sz="4" w:space="0" w:color="auto"/>
            </w:tcBorders>
            <w:shd w:val="clear" w:color="000000" w:fill="FFFFFF"/>
            <w:noWrap/>
            <w:vAlign w:val="bottom"/>
          </w:tcPr>
          <w:p w:rsidR="00AD57D4" w:rsidRPr="00AD19F5" w:rsidRDefault="002E13F2" w:rsidP="00AD19F5">
            <w:pPr>
              <w:jc w:val="right"/>
              <w:rPr>
                <w:lang w:val="en-US"/>
              </w:rPr>
            </w:pPr>
            <w:r>
              <w:t>-0,</w:t>
            </w:r>
            <w:r w:rsidR="00AD19F5">
              <w:rPr>
                <w:lang w:val="en-US"/>
              </w:rPr>
              <w:t>0596</w:t>
            </w:r>
          </w:p>
        </w:tc>
        <w:tc>
          <w:tcPr>
            <w:tcW w:w="993" w:type="dxa"/>
            <w:tcBorders>
              <w:top w:val="nil"/>
              <w:left w:val="nil"/>
              <w:bottom w:val="single" w:sz="4" w:space="0" w:color="auto"/>
              <w:right w:val="single" w:sz="4" w:space="0" w:color="auto"/>
            </w:tcBorders>
            <w:shd w:val="clear" w:color="000000" w:fill="FFFFFF"/>
            <w:noWrap/>
            <w:vAlign w:val="bottom"/>
          </w:tcPr>
          <w:p w:rsidR="00AD57D4" w:rsidRPr="00AD19F5" w:rsidRDefault="002E13F2" w:rsidP="00AD19F5">
            <w:pPr>
              <w:jc w:val="right"/>
              <w:rPr>
                <w:lang w:val="en-US"/>
              </w:rPr>
            </w:pPr>
            <w:r>
              <w:t>0,</w:t>
            </w:r>
            <w:r w:rsidR="00AD19F5">
              <w:rPr>
                <w:lang w:val="en-US"/>
              </w:rPr>
              <w:t>0259</w:t>
            </w:r>
          </w:p>
        </w:tc>
        <w:tc>
          <w:tcPr>
            <w:tcW w:w="1134" w:type="dxa"/>
            <w:tcBorders>
              <w:top w:val="nil"/>
              <w:left w:val="nil"/>
              <w:bottom w:val="single" w:sz="4" w:space="0" w:color="auto"/>
              <w:right w:val="single" w:sz="4" w:space="0" w:color="auto"/>
            </w:tcBorders>
            <w:shd w:val="clear" w:color="000000" w:fill="FFFFFF"/>
            <w:noWrap/>
            <w:vAlign w:val="bottom"/>
          </w:tcPr>
          <w:p w:rsidR="00AD57D4" w:rsidRPr="00AD19F5" w:rsidRDefault="00EF3E54" w:rsidP="00AD19F5">
            <w:pPr>
              <w:jc w:val="right"/>
              <w:rPr>
                <w:lang w:val="en-US"/>
              </w:rPr>
            </w:pPr>
            <w:r>
              <w:t>-0,</w:t>
            </w:r>
            <w:r w:rsidR="00AD19F5">
              <w:rPr>
                <w:lang w:val="en-US"/>
              </w:rPr>
              <w:t>0</w:t>
            </w:r>
            <w:r w:rsidR="002E13F2">
              <w:t>8</w:t>
            </w:r>
            <w:r w:rsidR="00AD19F5">
              <w:rPr>
                <w:lang w:val="en-US"/>
              </w:rPr>
              <w:t>55</w:t>
            </w:r>
          </w:p>
        </w:tc>
        <w:tc>
          <w:tcPr>
            <w:tcW w:w="1134" w:type="dxa"/>
            <w:tcBorders>
              <w:top w:val="nil"/>
              <w:left w:val="nil"/>
              <w:bottom w:val="single" w:sz="4" w:space="0" w:color="auto"/>
              <w:right w:val="single" w:sz="4" w:space="0" w:color="auto"/>
            </w:tcBorders>
            <w:shd w:val="clear" w:color="000000" w:fill="FFFFFF"/>
            <w:noWrap/>
            <w:vAlign w:val="bottom"/>
          </w:tcPr>
          <w:p w:rsidR="00AD57D4" w:rsidRPr="00AD19F5" w:rsidRDefault="00EF3E54" w:rsidP="00AD19F5">
            <w:pPr>
              <w:rPr>
                <w:lang w:val="en-US"/>
              </w:rPr>
            </w:pPr>
            <w:r>
              <w:rPr>
                <w:lang w:val="en-US"/>
              </w:rPr>
              <w:t xml:space="preserve">      </w:t>
            </w:r>
            <w:r w:rsidR="002E13F2">
              <w:t>-</w:t>
            </w:r>
            <w:r>
              <w:rPr>
                <w:lang w:val="en-US"/>
              </w:rPr>
              <w:t>3</w:t>
            </w:r>
            <w:r w:rsidR="00AD19F5">
              <w:rPr>
                <w:lang w:val="en-US"/>
              </w:rPr>
              <w:t>30</w:t>
            </w:r>
            <w:r w:rsidR="002E13F2">
              <w:t>,</w:t>
            </w:r>
            <w:r w:rsidR="00AD19F5">
              <w:rPr>
                <w:lang w:val="en-US"/>
              </w:rPr>
              <w:t>3</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EF3E54" w:rsidRDefault="00AD57D4" w:rsidP="0071675D">
            <w:pPr>
              <w:jc w:val="center"/>
              <w:rPr>
                <w:lang w:val="en-US"/>
              </w:rPr>
            </w:pPr>
            <w:r w:rsidRPr="00C62311">
              <w:t>17</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Коеф. на капитализация на активите (1/5)</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w:t>
            </w:r>
            <w:r w:rsidR="00EF3E54">
              <w:rPr>
                <w:lang w:val="en-US"/>
              </w:rPr>
              <w:t>0574</w:t>
            </w:r>
          </w:p>
        </w:tc>
        <w:tc>
          <w:tcPr>
            <w:tcW w:w="993"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0,0</w:t>
            </w:r>
            <w:r w:rsidR="00EF3E54">
              <w:rPr>
                <w:lang w:val="en-US"/>
              </w:rPr>
              <w:t>232</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-0,0</w:t>
            </w:r>
            <w:r w:rsidR="00EF3E54">
              <w:rPr>
                <w:lang w:val="en-US"/>
              </w:rPr>
              <w:t>806</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w:t>
            </w:r>
            <w:r w:rsidR="00EF3E54">
              <w:rPr>
                <w:lang w:val="en-US"/>
              </w:rPr>
              <w:t>346</w:t>
            </w:r>
            <w:r>
              <w:t>,</w:t>
            </w:r>
            <w:r w:rsidR="00EF3E54">
              <w:rPr>
                <w:lang w:val="en-US"/>
              </w:rPr>
              <w:t>9</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rPr>
                <w:b/>
                <w:bCs/>
              </w:rPr>
            </w:pPr>
            <w:r w:rsidRPr="00C62311">
              <w:rPr>
                <w:b/>
                <w:bCs/>
              </w:rPr>
              <w:t>Ефективност</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pPr>
              <w:jc w:val="center"/>
              <w:rPr>
                <w:b/>
                <w:bCs/>
              </w:rPr>
            </w:pPr>
            <w:r w:rsidRPr="00C62311">
              <w:rPr>
                <w:b/>
                <w:bCs/>
              </w:rPr>
              <w:t> </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18</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Коеф. на ефективност на разходите (6/7)</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0,984</w:t>
            </w:r>
            <w:r w:rsidR="00EF3E54">
              <w:rPr>
                <w:lang w:val="en-US"/>
              </w:rPr>
              <w:t>2</w:t>
            </w: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1,0019</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-0,017</w:t>
            </w:r>
            <w:r w:rsidR="00EF3E54">
              <w:rPr>
                <w:lang w:val="en-US"/>
              </w:rPr>
              <w:t>6</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-1,</w:t>
            </w:r>
            <w:r w:rsidR="00EF3E54">
              <w:rPr>
                <w:lang w:val="en-US"/>
              </w:rPr>
              <w:t>8</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19</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Коеф. на ефективност на приходите (7/6)</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0,98</w:t>
            </w:r>
            <w:r w:rsidR="00EF3E54">
              <w:rPr>
                <w:lang w:val="en-US"/>
              </w:rPr>
              <w:t>56</w:t>
            </w: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1,0046</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-0,01</w:t>
            </w:r>
            <w:r w:rsidR="00EF3E54">
              <w:rPr>
                <w:lang w:val="en-US"/>
              </w:rPr>
              <w:t>90</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-1,9</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rPr>
                <w:b/>
                <w:bCs/>
              </w:rPr>
            </w:pPr>
            <w:r w:rsidRPr="00C62311">
              <w:rPr>
                <w:b/>
                <w:bCs/>
              </w:rPr>
              <w:t>Ликвидност</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pPr>
              <w:jc w:val="center"/>
              <w:rPr>
                <w:b/>
                <w:bCs/>
              </w:rPr>
            </w:pPr>
            <w:r w:rsidRPr="00C62311">
              <w:rPr>
                <w:b/>
                <w:bCs/>
              </w:rPr>
              <w:t> </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20</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Коеф. на обща ликвидност                 (8/10)</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0,1</w:t>
            </w:r>
            <w:r w:rsidR="00EF3E54">
              <w:rPr>
                <w:lang w:val="en-US"/>
              </w:rPr>
              <w:t>670</w:t>
            </w: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0,0977</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0,06</w:t>
            </w:r>
            <w:r w:rsidR="00EF3E54">
              <w:rPr>
                <w:lang w:val="en-US"/>
              </w:rPr>
              <w:t>93</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EF3E54" w:rsidP="00EF3E54">
            <w:pPr>
              <w:jc w:val="right"/>
              <w:rPr>
                <w:lang w:val="en-US"/>
              </w:rPr>
            </w:pPr>
            <w:r>
              <w:rPr>
                <w:lang w:val="en-US"/>
              </w:rPr>
              <w:t>71</w:t>
            </w:r>
            <w:r w:rsidR="002E13F2">
              <w:t>,</w:t>
            </w:r>
            <w:r>
              <w:rPr>
                <w:lang w:val="en-US"/>
              </w:rPr>
              <w:t>0</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21</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Коеф. на бърза ликвидност   (11+12+13)/10</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0,9</w:t>
            </w:r>
            <w:r w:rsidR="00EF3E54">
              <w:rPr>
                <w:lang w:val="en-US"/>
              </w:rPr>
              <w:t>800</w:t>
            </w:r>
          </w:p>
        </w:tc>
        <w:tc>
          <w:tcPr>
            <w:tcW w:w="993"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1,1</w:t>
            </w:r>
            <w:r w:rsidR="00EF3E54">
              <w:rPr>
                <w:lang w:val="en-US"/>
              </w:rPr>
              <w:t>7</w:t>
            </w:r>
            <w:r>
              <w:t>6</w:t>
            </w:r>
            <w:r w:rsidR="00EF3E54">
              <w:rPr>
                <w:lang w:val="en-US"/>
              </w:rPr>
              <w:t>2</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w:t>
            </w:r>
            <w:r w:rsidR="00EF3E54">
              <w:rPr>
                <w:lang w:val="en-US"/>
              </w:rPr>
              <w:t>1962</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-1</w:t>
            </w:r>
            <w:r w:rsidR="00EF3E54">
              <w:rPr>
                <w:lang w:val="en-US"/>
              </w:rPr>
              <w:t>6</w:t>
            </w:r>
            <w:r>
              <w:t>,</w:t>
            </w:r>
            <w:r w:rsidR="00EF3E54">
              <w:rPr>
                <w:lang w:val="en-US"/>
              </w:rPr>
              <w:t>7</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22</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Коеф. на незабавна ликвидност (12+13)/10</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0,3</w:t>
            </w:r>
            <w:r w:rsidR="00EF3E54">
              <w:rPr>
                <w:lang w:val="en-US"/>
              </w:rPr>
              <w:t>176</w:t>
            </w: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0,4225</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-0,1</w:t>
            </w:r>
            <w:r w:rsidR="00EF3E54">
              <w:rPr>
                <w:lang w:val="en-US"/>
              </w:rPr>
              <w:t>049</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-2</w:t>
            </w:r>
            <w:r w:rsidR="00EF3E54">
              <w:rPr>
                <w:lang w:val="en-US"/>
              </w:rPr>
              <w:t>4</w:t>
            </w:r>
            <w:r>
              <w:t>,</w:t>
            </w:r>
            <w:r w:rsidR="00EF3E54">
              <w:rPr>
                <w:lang w:val="en-US"/>
              </w:rPr>
              <w:t>8</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23</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Коеф. на абсолютна ликвидност       (13/10)</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0,3</w:t>
            </w:r>
            <w:r w:rsidR="00EF3E54">
              <w:rPr>
                <w:lang w:val="en-US"/>
              </w:rPr>
              <w:t>176</w:t>
            </w: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2E13F2" w:rsidP="0071675D">
            <w:pPr>
              <w:jc w:val="right"/>
            </w:pPr>
            <w:r>
              <w:t>0,4225</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-0,1</w:t>
            </w:r>
            <w:r w:rsidR="00EF3E54">
              <w:rPr>
                <w:lang w:val="en-US"/>
              </w:rPr>
              <w:t>049</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EF3E54">
            <w:pPr>
              <w:jc w:val="right"/>
              <w:rPr>
                <w:lang w:val="en-US"/>
              </w:rPr>
            </w:pPr>
            <w:r>
              <w:t>-2</w:t>
            </w:r>
            <w:r w:rsidR="00EF3E54">
              <w:rPr>
                <w:lang w:val="en-US"/>
              </w:rPr>
              <w:t>4</w:t>
            </w:r>
            <w:r>
              <w:t>,</w:t>
            </w:r>
            <w:r w:rsidR="00EF3E54">
              <w:rPr>
                <w:lang w:val="en-US"/>
              </w:rPr>
              <w:t>8</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rPr>
                <w:b/>
                <w:bCs/>
              </w:rPr>
            </w:pPr>
            <w:r w:rsidRPr="00C62311">
              <w:rPr>
                <w:b/>
                <w:bCs/>
              </w:rPr>
              <w:t>Финансова автономност</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pPr>
              <w:jc w:val="center"/>
              <w:rPr>
                <w:b/>
                <w:bCs/>
              </w:rPr>
            </w:pPr>
            <w:r w:rsidRPr="00C62311">
              <w:rPr>
                <w:b/>
                <w:bCs/>
              </w:rPr>
              <w:t> </w:t>
            </w: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c>
          <w:tcPr>
            <w:tcW w:w="993"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c>
          <w:tcPr>
            <w:tcW w:w="1134" w:type="dxa"/>
            <w:tcBorders>
              <w:top w:val="nil"/>
              <w:left w:val="nil"/>
              <w:bottom w:val="single" w:sz="4" w:space="0" w:color="auto"/>
              <w:right w:val="single" w:sz="4" w:space="0" w:color="auto"/>
            </w:tcBorders>
            <w:shd w:val="clear" w:color="000000" w:fill="FFFFFF"/>
            <w:noWrap/>
            <w:vAlign w:val="bottom"/>
          </w:tcPr>
          <w:p w:rsidR="00AD57D4" w:rsidRPr="00C62311" w:rsidRDefault="00AD57D4" w:rsidP="0071675D">
            <w:pPr>
              <w:jc w:val="center"/>
              <w:rPr>
                <w:b/>
                <w:bCs/>
              </w:rPr>
            </w:pP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24</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Коеф. на финансова автономност (3/4)</w:t>
            </w:r>
          </w:p>
        </w:tc>
        <w:tc>
          <w:tcPr>
            <w:tcW w:w="1134" w:type="dxa"/>
            <w:tcBorders>
              <w:top w:val="nil"/>
              <w:left w:val="nil"/>
              <w:bottom w:val="single" w:sz="4" w:space="0" w:color="auto"/>
              <w:right w:val="single" w:sz="4" w:space="0" w:color="auto"/>
            </w:tcBorders>
            <w:shd w:val="clear" w:color="000000" w:fill="FFFFFF"/>
            <w:noWrap/>
            <w:vAlign w:val="bottom"/>
          </w:tcPr>
          <w:p w:rsidR="00AD57D4" w:rsidRPr="00AD19F5" w:rsidRDefault="002E13F2" w:rsidP="00AD19F5">
            <w:pPr>
              <w:jc w:val="right"/>
              <w:rPr>
                <w:lang w:val="en-US"/>
              </w:rPr>
            </w:pPr>
            <w:r>
              <w:t>0,</w:t>
            </w:r>
            <w:r w:rsidR="00AD19F5">
              <w:rPr>
                <w:lang w:val="en-US"/>
              </w:rPr>
              <w:t>0398</w:t>
            </w:r>
          </w:p>
        </w:tc>
        <w:tc>
          <w:tcPr>
            <w:tcW w:w="993" w:type="dxa"/>
            <w:tcBorders>
              <w:top w:val="nil"/>
              <w:left w:val="nil"/>
              <w:bottom w:val="single" w:sz="4" w:space="0" w:color="auto"/>
              <w:right w:val="single" w:sz="4" w:space="0" w:color="auto"/>
            </w:tcBorders>
            <w:shd w:val="clear" w:color="000000" w:fill="FFFFFF"/>
            <w:noWrap/>
            <w:vAlign w:val="bottom"/>
          </w:tcPr>
          <w:p w:rsidR="00AD57D4" w:rsidRPr="00AD19F5" w:rsidRDefault="002E13F2" w:rsidP="00AD19F5">
            <w:pPr>
              <w:jc w:val="right"/>
              <w:rPr>
                <w:lang w:val="en-US"/>
              </w:rPr>
            </w:pPr>
            <w:r>
              <w:t>0,</w:t>
            </w:r>
            <w:r w:rsidR="00AD19F5">
              <w:rPr>
                <w:lang w:val="en-US"/>
              </w:rPr>
              <w:t>1145</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AD19F5">
            <w:pPr>
              <w:jc w:val="right"/>
              <w:rPr>
                <w:lang w:val="en-US"/>
              </w:rPr>
            </w:pPr>
            <w:r>
              <w:t>-0,</w:t>
            </w:r>
            <w:r w:rsidR="00EF3E54">
              <w:rPr>
                <w:lang w:val="en-US"/>
              </w:rPr>
              <w:t>0</w:t>
            </w:r>
            <w:r w:rsidR="00AD19F5">
              <w:rPr>
                <w:lang w:val="en-US"/>
              </w:rPr>
              <w:t>748</w:t>
            </w:r>
          </w:p>
        </w:tc>
        <w:tc>
          <w:tcPr>
            <w:tcW w:w="1134" w:type="dxa"/>
            <w:tcBorders>
              <w:top w:val="nil"/>
              <w:left w:val="nil"/>
              <w:bottom w:val="single" w:sz="4" w:space="0" w:color="auto"/>
              <w:right w:val="single" w:sz="4" w:space="0" w:color="auto"/>
            </w:tcBorders>
            <w:shd w:val="clear" w:color="000000" w:fill="FFFFFF"/>
            <w:noWrap/>
            <w:vAlign w:val="bottom"/>
          </w:tcPr>
          <w:p w:rsidR="00AD57D4" w:rsidRPr="00AD19F5" w:rsidRDefault="002E13F2" w:rsidP="00AD19F5">
            <w:pPr>
              <w:jc w:val="right"/>
              <w:rPr>
                <w:lang w:val="en-US"/>
              </w:rPr>
            </w:pPr>
            <w:r>
              <w:t>-</w:t>
            </w:r>
            <w:r w:rsidR="00AD19F5">
              <w:rPr>
                <w:lang w:val="en-US"/>
              </w:rPr>
              <w:t>65</w:t>
            </w:r>
            <w:r>
              <w:t>,</w:t>
            </w:r>
            <w:r w:rsidR="00AD19F5">
              <w:rPr>
                <w:lang w:val="en-US"/>
              </w:rPr>
              <w:t>3</w:t>
            </w:r>
          </w:p>
        </w:tc>
      </w:tr>
      <w:tr w:rsidR="00AD57D4" w:rsidRPr="00C62311" w:rsidTr="005A2AAE">
        <w:trPr>
          <w:trHeight w:val="276"/>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AD57D4" w:rsidRPr="00C62311" w:rsidRDefault="00AD57D4" w:rsidP="0071675D">
            <w:pPr>
              <w:jc w:val="center"/>
            </w:pPr>
            <w:r w:rsidRPr="00C62311">
              <w:t>25</w:t>
            </w:r>
          </w:p>
        </w:tc>
        <w:tc>
          <w:tcPr>
            <w:tcW w:w="4394" w:type="dxa"/>
            <w:tcBorders>
              <w:top w:val="nil"/>
              <w:left w:val="nil"/>
              <w:bottom w:val="single" w:sz="4" w:space="0" w:color="auto"/>
              <w:right w:val="single" w:sz="4" w:space="0" w:color="auto"/>
            </w:tcBorders>
            <w:shd w:val="clear" w:color="000000" w:fill="FFFFFF"/>
            <w:noWrap/>
            <w:vAlign w:val="bottom"/>
            <w:hideMark/>
          </w:tcPr>
          <w:p w:rsidR="00AD57D4" w:rsidRPr="00C62311" w:rsidRDefault="00AD57D4" w:rsidP="0071675D">
            <w:r w:rsidRPr="00C62311">
              <w:t>Коеф. на задлъжнялост                  (4/3)</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AD19F5" w:rsidP="00AD19F5">
            <w:pPr>
              <w:jc w:val="right"/>
              <w:rPr>
                <w:lang w:val="en-US"/>
              </w:rPr>
            </w:pPr>
            <w:r>
              <w:rPr>
                <w:lang w:val="en-US"/>
              </w:rPr>
              <w:t>1</w:t>
            </w:r>
            <w:r w:rsidR="00EF3E54">
              <w:t>,</w:t>
            </w:r>
            <w:r>
              <w:rPr>
                <w:lang w:val="en-US"/>
              </w:rPr>
              <w:t>0</w:t>
            </w:r>
            <w:r w:rsidR="00EF3E54">
              <w:rPr>
                <w:lang w:val="en-US"/>
              </w:rPr>
              <w:t>3</w:t>
            </w:r>
            <w:r>
              <w:rPr>
                <w:lang w:val="en-US"/>
              </w:rPr>
              <w:t>98</w:t>
            </w:r>
          </w:p>
        </w:tc>
        <w:tc>
          <w:tcPr>
            <w:tcW w:w="993" w:type="dxa"/>
            <w:tcBorders>
              <w:top w:val="nil"/>
              <w:left w:val="nil"/>
              <w:bottom w:val="single" w:sz="4" w:space="0" w:color="auto"/>
              <w:right w:val="single" w:sz="4" w:space="0" w:color="auto"/>
            </w:tcBorders>
            <w:shd w:val="clear" w:color="000000" w:fill="FFFFFF"/>
            <w:noWrap/>
            <w:vAlign w:val="bottom"/>
          </w:tcPr>
          <w:p w:rsidR="00AD57D4" w:rsidRPr="00EF3E54" w:rsidRDefault="00AD19F5" w:rsidP="00AD19F5">
            <w:pPr>
              <w:jc w:val="right"/>
              <w:rPr>
                <w:lang w:val="en-US"/>
              </w:rPr>
            </w:pPr>
            <w:r>
              <w:rPr>
                <w:lang w:val="en-US"/>
              </w:rPr>
              <w:t>1</w:t>
            </w:r>
            <w:r w:rsidR="002E13F2">
              <w:t>,</w:t>
            </w:r>
            <w:r>
              <w:rPr>
                <w:lang w:val="en-US"/>
              </w:rPr>
              <w:t>114</w:t>
            </w:r>
            <w:r w:rsidR="00EF3E54">
              <w:rPr>
                <w:lang w:val="en-US"/>
              </w:rPr>
              <w:t>5</w:t>
            </w:r>
          </w:p>
        </w:tc>
        <w:tc>
          <w:tcPr>
            <w:tcW w:w="1134" w:type="dxa"/>
            <w:tcBorders>
              <w:top w:val="nil"/>
              <w:left w:val="nil"/>
              <w:bottom w:val="single" w:sz="4" w:space="0" w:color="auto"/>
              <w:right w:val="single" w:sz="4" w:space="0" w:color="auto"/>
            </w:tcBorders>
            <w:shd w:val="clear" w:color="000000" w:fill="FFFFFF"/>
            <w:noWrap/>
            <w:vAlign w:val="bottom"/>
          </w:tcPr>
          <w:p w:rsidR="00AD57D4" w:rsidRPr="00EF3E54" w:rsidRDefault="002E13F2" w:rsidP="00AD19F5">
            <w:pPr>
              <w:jc w:val="right"/>
              <w:rPr>
                <w:lang w:val="en-US"/>
              </w:rPr>
            </w:pPr>
            <w:r>
              <w:t>-0,</w:t>
            </w:r>
            <w:r w:rsidR="00AD19F5">
              <w:rPr>
                <w:lang w:val="en-US"/>
              </w:rPr>
              <w:t>0748</w:t>
            </w:r>
          </w:p>
        </w:tc>
        <w:tc>
          <w:tcPr>
            <w:tcW w:w="1134" w:type="dxa"/>
            <w:tcBorders>
              <w:top w:val="nil"/>
              <w:left w:val="nil"/>
              <w:bottom w:val="single" w:sz="4" w:space="0" w:color="auto"/>
              <w:right w:val="single" w:sz="4" w:space="0" w:color="auto"/>
            </w:tcBorders>
            <w:shd w:val="clear" w:color="000000" w:fill="FFFFFF"/>
            <w:noWrap/>
            <w:vAlign w:val="bottom"/>
          </w:tcPr>
          <w:p w:rsidR="00AD57D4" w:rsidRPr="00AD19F5" w:rsidRDefault="00EF3E54" w:rsidP="00AD19F5">
            <w:pPr>
              <w:jc w:val="right"/>
              <w:rPr>
                <w:lang w:val="en-US"/>
              </w:rPr>
            </w:pPr>
            <w:r>
              <w:t>-</w:t>
            </w:r>
            <w:r w:rsidR="00AD19F5">
              <w:rPr>
                <w:lang w:val="en-US"/>
              </w:rPr>
              <w:t>6</w:t>
            </w:r>
            <w:r w:rsidR="002E13F2">
              <w:t>,</w:t>
            </w:r>
            <w:r w:rsidR="00AD19F5">
              <w:rPr>
                <w:lang w:val="en-US"/>
              </w:rPr>
              <w:t>7</w:t>
            </w:r>
          </w:p>
        </w:tc>
      </w:tr>
    </w:tbl>
    <w:p w:rsidR="00746608" w:rsidRPr="0051614F" w:rsidRDefault="00746608" w:rsidP="00746608">
      <w:pPr>
        <w:pStyle w:val="ListParagraph"/>
        <w:spacing w:before="120" w:after="120"/>
        <w:ind w:left="0" w:firstLine="567"/>
        <w:jc w:val="both"/>
        <w:rPr>
          <w:rFonts w:asciiTheme="majorBidi" w:eastAsia="Calibri" w:hAnsiTheme="majorBidi" w:cstheme="majorBidi"/>
          <w:lang w:eastAsia="en-US"/>
        </w:rPr>
      </w:pPr>
      <w:r w:rsidRPr="0051614F">
        <w:rPr>
          <w:rFonts w:asciiTheme="majorBidi" w:eastAsia="Calibri" w:hAnsiTheme="majorBidi" w:cstheme="majorBidi"/>
          <w:lang w:eastAsia="en-US"/>
        </w:rPr>
        <w:t>И през 2016 год.  като основен източник на финансиране за дружеството остава прихода от НЗОК по клинични пътеки.  Въпреки увеличението му за 2016 год. спрямо 2015 год.,  ЛЗ не успява своевременно да покрива на 100% основните си разходи за издръжка, в т. число: разходи за персонал (възнаграждения и осигуровки), медикаменти, медицински консумативи, ел. енергия, вода, природен газ за отопление и топла вода, храна на пациенти, поддръжка на медицинска апаратура и др.</w:t>
      </w:r>
      <w:r w:rsidR="0051614F" w:rsidRPr="0051614F">
        <w:rPr>
          <w:rFonts w:asciiTheme="majorBidi" w:eastAsia="Calibri" w:hAnsiTheme="majorBidi" w:cstheme="majorBidi"/>
          <w:lang w:eastAsia="en-US"/>
        </w:rPr>
        <w:t xml:space="preserve"> Основния източник на реализираната загуба за периода са увеличените разходи за персонала.</w:t>
      </w:r>
    </w:p>
    <w:p w:rsidR="0051614F" w:rsidRPr="0051614F" w:rsidRDefault="0051614F" w:rsidP="00746608">
      <w:pPr>
        <w:pStyle w:val="ListParagraph"/>
        <w:spacing w:before="120" w:after="120"/>
        <w:ind w:left="0" w:firstLine="567"/>
        <w:jc w:val="both"/>
        <w:rPr>
          <w:rFonts w:asciiTheme="majorBidi" w:hAnsiTheme="majorBidi" w:cstheme="majorBidi"/>
          <w:sz w:val="22"/>
          <w:szCs w:val="22"/>
        </w:rPr>
      </w:pPr>
    </w:p>
    <w:p w:rsidR="00764AE9" w:rsidRPr="00EE757A" w:rsidRDefault="00C62311" w:rsidP="00746608">
      <w:pPr>
        <w:pStyle w:val="ListParagraph"/>
        <w:numPr>
          <w:ilvl w:val="0"/>
          <w:numId w:val="8"/>
        </w:numPr>
        <w:spacing w:before="120" w:after="120"/>
        <w:ind w:left="0" w:firstLine="567"/>
        <w:jc w:val="both"/>
        <w:rPr>
          <w:b/>
          <w:bCs/>
        </w:rPr>
      </w:pPr>
      <w:r w:rsidRPr="00EE757A">
        <w:rPr>
          <w:b/>
          <w:bCs/>
        </w:rPr>
        <w:t>Рискове, пред които е изправено дружеството</w:t>
      </w:r>
      <w:r w:rsidR="00DF6E89" w:rsidRPr="00EE757A">
        <w:rPr>
          <w:b/>
          <w:bCs/>
        </w:rPr>
        <w:t xml:space="preserve"> са</w:t>
      </w:r>
      <w:r w:rsidRPr="00EE757A">
        <w:rPr>
          <w:b/>
          <w:bCs/>
        </w:rPr>
        <w:t>:</w:t>
      </w:r>
    </w:p>
    <w:p w:rsidR="00DF6E89" w:rsidRDefault="00DF6E89" w:rsidP="00764AE9">
      <w:pPr>
        <w:spacing w:before="120" w:after="120"/>
        <w:ind w:firstLine="709"/>
        <w:jc w:val="both"/>
        <w:rPr>
          <w:b/>
          <w:bCs/>
          <w:i/>
          <w:iCs/>
        </w:rPr>
      </w:pPr>
      <w:r w:rsidRPr="00DF6E89">
        <w:rPr>
          <w:b/>
          <w:bCs/>
          <w:i/>
          <w:iCs/>
        </w:rPr>
        <w:t>Политически риск:</w:t>
      </w:r>
    </w:p>
    <w:p w:rsidR="00DF6E89" w:rsidRPr="00DF6E89" w:rsidRDefault="00DF6E89" w:rsidP="00DF6E89">
      <w:pPr>
        <w:pStyle w:val="BodyTextIndent"/>
        <w:ind w:left="0" w:firstLine="709"/>
        <w:jc w:val="both"/>
        <w:rPr>
          <w:rFonts w:asciiTheme="majorBidi" w:hAnsiTheme="majorBidi" w:cstheme="majorBidi"/>
          <w:sz w:val="24"/>
          <w:szCs w:val="24"/>
        </w:rPr>
      </w:pPr>
      <w:r w:rsidRPr="00DF6E89">
        <w:rPr>
          <w:rFonts w:asciiTheme="majorBidi" w:hAnsiTheme="majorBidi" w:cstheme="majorBidi"/>
          <w:sz w:val="24"/>
          <w:szCs w:val="24"/>
        </w:rPr>
        <w:t>Политическият риск отразява влиянието на политическите процеси в страната, които от своя страна влияят върху възвръщаемостта на инвестициите. Определящ фактор за дейността на даден отрасъл и респективно дейността на фирмата е формулираната от правителството дългосрочна икономическа програма, както и волята да се осъществяват набелязаните приоритетни стъпки. Степента на политическия риск се асоциира с вероятността за промени в неблагоприятна посока на водената от правителството икономическа политика или в по-неблагоприятния случай - смяна на правителството и като следствие от това с опасността от негативни промени в инвестиционния климат.</w:t>
      </w:r>
    </w:p>
    <w:p w:rsidR="00DF6E89" w:rsidRDefault="00DF6E89" w:rsidP="00DF6E89">
      <w:pPr>
        <w:spacing w:before="120" w:after="120"/>
        <w:ind w:firstLine="709"/>
        <w:rPr>
          <w:b/>
          <w:bCs/>
          <w:i/>
          <w:iCs/>
        </w:rPr>
      </w:pPr>
      <w:r w:rsidRPr="00DF6E89">
        <w:rPr>
          <w:b/>
          <w:bCs/>
          <w:i/>
          <w:iCs/>
        </w:rPr>
        <w:t>Ликвиден риск:</w:t>
      </w:r>
    </w:p>
    <w:p w:rsidR="00DF6E89" w:rsidRPr="00DF6E89" w:rsidRDefault="00DF6E89" w:rsidP="00DF6E89">
      <w:pPr>
        <w:spacing w:after="120"/>
        <w:ind w:firstLine="709"/>
        <w:jc w:val="both"/>
        <w:rPr>
          <w:rFonts w:asciiTheme="majorBidi" w:eastAsia="Calibri" w:hAnsiTheme="majorBidi" w:cstheme="majorBidi"/>
          <w:kern w:val="2"/>
          <w:lang w:eastAsia="en-US"/>
        </w:rPr>
      </w:pPr>
      <w:r w:rsidRPr="00DF6E89">
        <w:rPr>
          <w:rFonts w:asciiTheme="majorBidi" w:eastAsia="Calibri" w:hAnsiTheme="majorBidi" w:cstheme="majorBidi"/>
          <w:kern w:val="2"/>
          <w:lang w:val="be-BY" w:eastAsia="en-US"/>
        </w:rPr>
        <w:t xml:space="preserve">Неспособността на дружеството да покрива насрещните си задължения съгласно техния падеж е израз на ликвиден риск. Ликвидността зависи главно от наличието в дружеството на парични средства или на съответните им алтернативи. Другият основен фактор, който влияе силно  е свързан с привлечения капитал. Той трябва да се поддържа в оптимално равнище, като </w:t>
      </w:r>
      <w:r w:rsidRPr="00DF6E89">
        <w:rPr>
          <w:rFonts w:asciiTheme="majorBidi" w:eastAsia="Calibri" w:hAnsiTheme="majorBidi" w:cstheme="majorBidi"/>
          <w:kern w:val="2"/>
          <w:lang w:eastAsia="en-US"/>
        </w:rPr>
        <w:t>се контролира</w:t>
      </w:r>
      <w:r w:rsidRPr="00DF6E89">
        <w:rPr>
          <w:rFonts w:asciiTheme="majorBidi" w:eastAsia="Calibri" w:hAnsiTheme="majorBidi" w:cstheme="majorBidi"/>
          <w:kern w:val="2"/>
          <w:lang w:val="be-BY" w:eastAsia="en-US"/>
        </w:rPr>
        <w:t xml:space="preserve"> както нивото на заемните средства, така и стойности</w:t>
      </w:r>
      <w:r w:rsidRPr="00DF6E89">
        <w:rPr>
          <w:rFonts w:asciiTheme="majorBidi" w:eastAsia="Calibri" w:hAnsiTheme="majorBidi" w:cstheme="majorBidi"/>
          <w:kern w:val="2"/>
          <w:lang w:eastAsia="en-US"/>
        </w:rPr>
        <w:t>т</w:t>
      </w:r>
      <w:r w:rsidRPr="00DF6E89">
        <w:rPr>
          <w:rFonts w:asciiTheme="majorBidi" w:eastAsia="Calibri" w:hAnsiTheme="majorBidi" w:cstheme="majorBidi"/>
          <w:kern w:val="2"/>
          <w:lang w:val="be-BY" w:eastAsia="en-US"/>
        </w:rPr>
        <w:t>е на задълженията към доставчиците и от клиентите на дружеството.</w:t>
      </w:r>
    </w:p>
    <w:p w:rsidR="00DF6E89" w:rsidRDefault="00DF6E89" w:rsidP="00DF6E89">
      <w:pPr>
        <w:spacing w:after="120"/>
        <w:ind w:firstLine="709"/>
        <w:jc w:val="both"/>
        <w:rPr>
          <w:rFonts w:asciiTheme="majorBidi" w:eastAsia="Calibri" w:hAnsiTheme="majorBidi" w:cstheme="majorBidi"/>
          <w:kern w:val="2"/>
          <w:lang w:eastAsia="en-US"/>
        </w:rPr>
      </w:pPr>
      <w:r w:rsidRPr="00DF6E89">
        <w:rPr>
          <w:rFonts w:asciiTheme="majorBidi" w:eastAsia="Calibri" w:hAnsiTheme="majorBidi" w:cstheme="majorBidi"/>
          <w:kern w:val="2"/>
          <w:lang w:eastAsia="en-US"/>
        </w:rPr>
        <w:t xml:space="preserve">Управлението на ликвидния риск </w:t>
      </w:r>
      <w:r w:rsidRPr="00DF6E89">
        <w:rPr>
          <w:rFonts w:asciiTheme="majorBidi" w:eastAsia="Calibri" w:hAnsiTheme="majorBidi" w:cstheme="majorBidi"/>
          <w:bCs/>
          <w:lang w:eastAsia="en-US"/>
        </w:rPr>
        <w:t xml:space="preserve">за дружеството ни </w:t>
      </w:r>
      <w:r w:rsidRPr="00DF6E89">
        <w:rPr>
          <w:rFonts w:asciiTheme="majorBidi" w:eastAsia="Calibri" w:hAnsiTheme="majorBidi" w:cstheme="majorBidi"/>
          <w:kern w:val="2"/>
          <w:lang w:eastAsia="en-US"/>
        </w:rPr>
        <w:t>изисква консервативна политика по ликвидността чрез постоянно поддържане на оптимален ликвиден запас парични средства, добра способност за финансиране на фирмената дейност, осигуряване и поддържане на адекватни кредитни ресурси, ежедневен мониторинг на наличните парични средства, предстоящи плащания и падежи.</w:t>
      </w:r>
    </w:p>
    <w:p w:rsidR="00DA4D33" w:rsidRPr="00DA4D33" w:rsidRDefault="00DA4D33" w:rsidP="00DF6E89">
      <w:pPr>
        <w:spacing w:after="120"/>
        <w:ind w:firstLine="709"/>
        <w:jc w:val="both"/>
        <w:rPr>
          <w:rFonts w:asciiTheme="majorBidi" w:eastAsia="Calibri" w:hAnsiTheme="majorBidi" w:cstheme="majorBidi"/>
          <w:b/>
          <w:bCs/>
          <w:i/>
          <w:iCs/>
          <w:kern w:val="2"/>
          <w:lang w:eastAsia="en-US"/>
        </w:rPr>
      </w:pPr>
      <w:r w:rsidRPr="00DA4D33">
        <w:rPr>
          <w:rFonts w:asciiTheme="majorBidi" w:eastAsia="Calibri" w:hAnsiTheme="majorBidi" w:cstheme="majorBidi"/>
          <w:b/>
          <w:bCs/>
          <w:i/>
          <w:iCs/>
          <w:kern w:val="2"/>
          <w:lang w:eastAsia="en-US"/>
        </w:rPr>
        <w:t>Ценови риск:</w:t>
      </w:r>
    </w:p>
    <w:p w:rsidR="00DA4D33" w:rsidRDefault="00DA4D33" w:rsidP="00DA4D33">
      <w:pPr>
        <w:pStyle w:val="BodyTextIndent"/>
        <w:ind w:left="0" w:firstLine="709"/>
        <w:jc w:val="both"/>
        <w:rPr>
          <w:rFonts w:asciiTheme="majorBidi" w:hAnsiTheme="majorBidi" w:cstheme="majorBidi"/>
          <w:kern w:val="2"/>
          <w:sz w:val="24"/>
          <w:szCs w:val="24"/>
        </w:rPr>
      </w:pPr>
      <w:r w:rsidRPr="00DA4D33">
        <w:rPr>
          <w:rFonts w:asciiTheme="majorBidi" w:hAnsiTheme="majorBidi" w:cstheme="majorBidi"/>
          <w:kern w:val="2"/>
          <w:sz w:val="24"/>
          <w:szCs w:val="24"/>
        </w:rPr>
        <w:t xml:space="preserve">Ценовият риск се определя в две направления: по отношение на пазарната конюнктура и по отношение на вътрешнофирмените производствени разходи. Продажната цена трябва да бъде съобразена и с двата фактора, като се цели тя да покрива разходите на предприятието и да носи определена норма на печалба. Цената, </w:t>
      </w:r>
      <w:r>
        <w:rPr>
          <w:rFonts w:asciiTheme="majorBidi" w:hAnsiTheme="majorBidi" w:cstheme="majorBidi"/>
          <w:kern w:val="2"/>
          <w:sz w:val="24"/>
          <w:szCs w:val="24"/>
        </w:rPr>
        <w:t xml:space="preserve">на медицинските услуги е съобразена с </w:t>
      </w:r>
      <w:r w:rsidRPr="00DA4D33">
        <w:rPr>
          <w:rFonts w:asciiTheme="majorBidi" w:hAnsiTheme="majorBidi" w:cstheme="majorBidi"/>
          <w:kern w:val="2"/>
          <w:sz w:val="24"/>
          <w:szCs w:val="24"/>
        </w:rPr>
        <w:t>дефинираната на пазара</w:t>
      </w:r>
      <w:r>
        <w:rPr>
          <w:rFonts w:asciiTheme="majorBidi" w:hAnsiTheme="majorBidi" w:cstheme="majorBidi"/>
          <w:kern w:val="2"/>
          <w:sz w:val="24"/>
          <w:szCs w:val="24"/>
        </w:rPr>
        <w:t xml:space="preserve"> и с определените цени за клинични пътеки в НРД.</w:t>
      </w:r>
    </w:p>
    <w:p w:rsidR="00DA4D33" w:rsidRPr="00DA4D33" w:rsidRDefault="00DA4D33" w:rsidP="00DA4D33">
      <w:pPr>
        <w:pStyle w:val="BodyTextIndent"/>
        <w:ind w:left="0" w:firstLine="709"/>
        <w:jc w:val="both"/>
        <w:rPr>
          <w:rFonts w:asciiTheme="majorBidi" w:hAnsiTheme="majorBidi" w:cstheme="majorBidi"/>
          <w:kern w:val="2"/>
          <w:sz w:val="24"/>
          <w:szCs w:val="24"/>
        </w:rPr>
      </w:pPr>
      <w:r w:rsidRPr="00DA4D33">
        <w:rPr>
          <w:rFonts w:asciiTheme="majorBidi" w:hAnsiTheme="majorBidi" w:cstheme="majorBidi"/>
          <w:kern w:val="2"/>
          <w:sz w:val="24"/>
          <w:szCs w:val="24"/>
        </w:rPr>
        <w:t>Управлението на ценовия риск за дружеството ни изисква периодичен анализ съобразно пазарните промени</w:t>
      </w:r>
      <w:r w:rsidRPr="00FD3526">
        <w:rPr>
          <w:kern w:val="2"/>
        </w:rPr>
        <w:t>.</w:t>
      </w:r>
    </w:p>
    <w:p w:rsidR="00DA4D33" w:rsidRPr="00DA4D33" w:rsidRDefault="00DA4D33" w:rsidP="00DA4D33">
      <w:pPr>
        <w:spacing w:after="120"/>
        <w:ind w:firstLine="709"/>
        <w:jc w:val="both"/>
        <w:rPr>
          <w:rFonts w:asciiTheme="majorBidi" w:eastAsia="Calibri" w:hAnsiTheme="majorBidi" w:cstheme="majorBidi"/>
          <w:b/>
          <w:bCs/>
          <w:i/>
          <w:iCs/>
          <w:kern w:val="2"/>
          <w:lang w:eastAsia="en-US"/>
        </w:rPr>
      </w:pPr>
      <w:r w:rsidRPr="00DA4D33">
        <w:rPr>
          <w:rFonts w:asciiTheme="majorBidi" w:eastAsia="Calibri" w:hAnsiTheme="majorBidi" w:cstheme="majorBidi"/>
          <w:b/>
          <w:bCs/>
          <w:i/>
          <w:iCs/>
          <w:kern w:val="2"/>
          <w:lang w:eastAsia="en-US"/>
        </w:rPr>
        <w:t>Риск, свързан с паричния поток</w:t>
      </w:r>
      <w:r>
        <w:rPr>
          <w:rFonts w:asciiTheme="majorBidi" w:eastAsia="Calibri" w:hAnsiTheme="majorBidi" w:cstheme="majorBidi"/>
          <w:b/>
          <w:bCs/>
          <w:i/>
          <w:iCs/>
          <w:kern w:val="2"/>
          <w:lang w:eastAsia="en-US"/>
        </w:rPr>
        <w:t>:</w:t>
      </w:r>
    </w:p>
    <w:p w:rsidR="00DA4D33" w:rsidRDefault="00DA4D33" w:rsidP="00DA4D33">
      <w:pPr>
        <w:ind w:firstLine="709"/>
        <w:jc w:val="both"/>
        <w:rPr>
          <w:rFonts w:asciiTheme="majorBidi" w:eastAsia="Calibri" w:hAnsiTheme="majorBidi" w:cstheme="majorBidi"/>
          <w:kern w:val="2"/>
          <w:lang w:eastAsia="en-US"/>
        </w:rPr>
      </w:pPr>
      <w:r w:rsidRPr="00DA4D33">
        <w:rPr>
          <w:rFonts w:asciiTheme="majorBidi" w:eastAsia="Calibri" w:hAnsiTheme="majorBidi" w:cstheme="majorBidi"/>
          <w:kern w:val="2"/>
          <w:lang w:eastAsia="en-US"/>
        </w:rPr>
        <w:t xml:space="preserve">Рискът, свързан с паричния поток разглежда проблемите с наличните парични средства в дружеството. Тук от съществено значение е договорната политика, която следва да защитава фирмените финанси, като гарантира регулярни входящи потоци от страна на клиенти, както и навременни плащания на задълженията. </w:t>
      </w:r>
      <w:r>
        <w:rPr>
          <w:rFonts w:asciiTheme="majorBidi" w:eastAsia="Calibri" w:hAnsiTheme="majorBidi" w:cstheme="majorBidi"/>
          <w:kern w:val="2"/>
          <w:lang w:eastAsia="en-US"/>
        </w:rPr>
        <w:t xml:space="preserve"> </w:t>
      </w:r>
    </w:p>
    <w:p w:rsidR="00DA4D33" w:rsidRPr="00DA4D33" w:rsidRDefault="00DA4D33" w:rsidP="00DA4D33">
      <w:pPr>
        <w:pStyle w:val="BodyTextIndent"/>
        <w:ind w:left="0" w:firstLine="709"/>
        <w:jc w:val="both"/>
        <w:rPr>
          <w:rFonts w:asciiTheme="majorBidi" w:hAnsiTheme="majorBidi" w:cstheme="majorBidi"/>
          <w:kern w:val="2"/>
          <w:sz w:val="24"/>
          <w:szCs w:val="24"/>
        </w:rPr>
      </w:pPr>
      <w:r w:rsidRPr="00DA4D33">
        <w:rPr>
          <w:rFonts w:asciiTheme="majorBidi" w:hAnsiTheme="majorBidi" w:cstheme="majorBidi"/>
          <w:kern w:val="2"/>
          <w:sz w:val="24"/>
          <w:szCs w:val="24"/>
        </w:rPr>
        <w:t>Управлението на риска, свързан с паричните потоци за дружеството ни изисква поддържане на положителна стойност на ликвидността, т.е. готовност за посрещане на текущите задължения.</w:t>
      </w:r>
    </w:p>
    <w:p w:rsidR="00DA4D33" w:rsidRPr="00DF6E89" w:rsidRDefault="00DA4D33" w:rsidP="00DA4D33">
      <w:pPr>
        <w:pStyle w:val="BodyTextIndent"/>
        <w:ind w:left="0" w:firstLine="709"/>
        <w:jc w:val="both"/>
        <w:rPr>
          <w:rFonts w:asciiTheme="majorBidi" w:hAnsiTheme="majorBidi" w:cstheme="majorBidi"/>
          <w:kern w:val="2"/>
          <w:sz w:val="24"/>
          <w:szCs w:val="24"/>
        </w:rPr>
      </w:pPr>
      <w:r w:rsidRPr="00667D4A">
        <w:rPr>
          <w:rFonts w:asciiTheme="majorBidi" w:hAnsiTheme="majorBidi" w:cstheme="majorBidi"/>
          <w:b/>
          <w:bCs/>
          <w:i/>
          <w:iCs/>
          <w:kern w:val="2"/>
          <w:sz w:val="24"/>
          <w:szCs w:val="24"/>
        </w:rPr>
        <w:t>Регулативен риск</w:t>
      </w:r>
      <w:r w:rsidRPr="00DA4D33">
        <w:rPr>
          <w:rFonts w:asciiTheme="majorBidi" w:hAnsiTheme="majorBidi" w:cstheme="majorBidi"/>
          <w:kern w:val="2"/>
          <w:sz w:val="24"/>
          <w:szCs w:val="24"/>
        </w:rPr>
        <w:t>:</w:t>
      </w:r>
    </w:p>
    <w:p w:rsidR="00DF6E89" w:rsidRPr="00DA4D33" w:rsidRDefault="00DA4D33" w:rsidP="00DA4D33">
      <w:pPr>
        <w:spacing w:before="120" w:after="120"/>
        <w:ind w:firstLine="709"/>
        <w:jc w:val="both"/>
        <w:rPr>
          <w:rFonts w:asciiTheme="majorBidi" w:eastAsia="Calibri" w:hAnsiTheme="majorBidi" w:cstheme="majorBidi"/>
          <w:kern w:val="2"/>
          <w:lang w:eastAsia="en-US"/>
        </w:rPr>
      </w:pPr>
      <w:r w:rsidRPr="00DA4D33">
        <w:rPr>
          <w:rFonts w:asciiTheme="majorBidi" w:eastAsia="Calibri" w:hAnsiTheme="majorBidi" w:cstheme="majorBidi"/>
          <w:kern w:val="2"/>
          <w:lang w:eastAsia="en-US"/>
        </w:rPr>
        <w:t>Регулативният риск е свързан с вероятността да се понесат загуби в резултат на нарушения или неспазване на законовите и подзаконови нормативни актове или вътрешно</w:t>
      </w:r>
      <w:r>
        <w:rPr>
          <w:rFonts w:asciiTheme="majorBidi" w:eastAsia="Calibri" w:hAnsiTheme="majorBidi" w:cstheme="majorBidi"/>
          <w:kern w:val="2"/>
          <w:lang w:eastAsia="en-US"/>
        </w:rPr>
        <w:t xml:space="preserve"> </w:t>
      </w:r>
      <w:r w:rsidRPr="00DA4D33">
        <w:rPr>
          <w:rFonts w:asciiTheme="majorBidi" w:eastAsia="Calibri" w:hAnsiTheme="majorBidi" w:cstheme="majorBidi"/>
          <w:kern w:val="2"/>
          <w:lang w:eastAsia="en-US"/>
        </w:rPr>
        <w:t>дружествените документи, както и от загуби в резултат на интервенция на данъчните власти. Този риск се отнася и за промени в нормативната база, свързани с опазването на околната среда, както и с вероятността дружеството да не бъде в състояние да изпълнява предписанията и изискванията на екологичното законодателство и компетентните органи, за което да му бъдат налагани съответните наказания</w:t>
      </w:r>
      <w:r>
        <w:rPr>
          <w:rFonts w:asciiTheme="majorBidi" w:eastAsia="Calibri" w:hAnsiTheme="majorBidi" w:cstheme="majorBidi"/>
          <w:kern w:val="2"/>
          <w:lang w:eastAsia="en-US"/>
        </w:rPr>
        <w:t>.</w:t>
      </w:r>
    </w:p>
    <w:p w:rsidR="00C62311" w:rsidRPr="0051614F" w:rsidRDefault="00C62311" w:rsidP="00EE757A">
      <w:pPr>
        <w:pStyle w:val="ListParagraph"/>
        <w:numPr>
          <w:ilvl w:val="0"/>
          <w:numId w:val="8"/>
        </w:numPr>
        <w:spacing w:before="120" w:after="120" w:line="288" w:lineRule="auto"/>
        <w:ind w:left="0" w:firstLine="567"/>
        <w:jc w:val="both"/>
      </w:pPr>
      <w:r w:rsidRPr="00EE757A">
        <w:rPr>
          <w:b/>
          <w:bCs/>
        </w:rPr>
        <w:t>Важни събития, които са настъпили след датата, към която е съставен годишният финансов отчет:</w:t>
      </w:r>
    </w:p>
    <w:p w:rsidR="0051614F" w:rsidRPr="00CB3663" w:rsidRDefault="0051614F" w:rsidP="0051614F">
      <w:pPr>
        <w:pStyle w:val="ListParagraph"/>
        <w:spacing w:before="120" w:after="120" w:line="288" w:lineRule="auto"/>
        <w:ind w:left="0" w:firstLine="567"/>
        <w:jc w:val="both"/>
      </w:pPr>
      <w:r>
        <w:t xml:space="preserve">До датата на изготвяне на годишния финансов отчет са получени документи, които касаят </w:t>
      </w:r>
      <w:r w:rsidRPr="00CB3663">
        <w:t>приходи и разходи за 2016 год. В резултат на това са отчетени:</w:t>
      </w:r>
    </w:p>
    <w:p w:rsidR="0051614F" w:rsidRPr="00CB3663" w:rsidRDefault="0051614F" w:rsidP="0051614F">
      <w:pPr>
        <w:pStyle w:val="ListParagraph"/>
        <w:numPr>
          <w:ilvl w:val="0"/>
          <w:numId w:val="9"/>
        </w:numPr>
        <w:spacing w:before="120" w:after="120" w:line="288" w:lineRule="auto"/>
        <w:jc w:val="both"/>
      </w:pPr>
      <w:r w:rsidRPr="00CB3663">
        <w:t>Приходи в размер на</w:t>
      </w:r>
      <w:r w:rsidR="00820624" w:rsidRPr="00CB3663">
        <w:t xml:space="preserve"> </w:t>
      </w:r>
      <w:r w:rsidR="00AD64E6" w:rsidRPr="00CB3663">
        <w:t>286</w:t>
      </w:r>
      <w:r w:rsidR="00820624" w:rsidRPr="00CB3663">
        <w:t xml:space="preserve"> хил.лв.</w:t>
      </w:r>
    </w:p>
    <w:p w:rsidR="0051614F" w:rsidRPr="00CB3663" w:rsidRDefault="0051614F" w:rsidP="0051614F">
      <w:pPr>
        <w:pStyle w:val="ListParagraph"/>
        <w:numPr>
          <w:ilvl w:val="0"/>
          <w:numId w:val="9"/>
        </w:numPr>
        <w:spacing w:before="120" w:after="120" w:line="288" w:lineRule="auto"/>
        <w:jc w:val="both"/>
      </w:pPr>
      <w:r w:rsidRPr="00CB3663">
        <w:t xml:space="preserve">Разходи в размер на </w:t>
      </w:r>
      <w:r w:rsidR="00820624" w:rsidRPr="00CB3663">
        <w:t>2 хил.лв.</w:t>
      </w:r>
    </w:p>
    <w:p w:rsidR="0051614F" w:rsidRPr="0051614F" w:rsidRDefault="0051614F" w:rsidP="0051614F">
      <w:pPr>
        <w:pStyle w:val="ListParagraph"/>
        <w:numPr>
          <w:ilvl w:val="0"/>
          <w:numId w:val="9"/>
        </w:numPr>
        <w:spacing w:before="120" w:after="120" w:line="288" w:lineRule="auto"/>
        <w:jc w:val="both"/>
      </w:pPr>
      <w:r>
        <w:t>Провизии по съдебни спорове в размер на 26 хил.лв.</w:t>
      </w:r>
    </w:p>
    <w:p w:rsidR="00C62311" w:rsidRPr="00C62311" w:rsidRDefault="00C62311" w:rsidP="00EE757A">
      <w:pPr>
        <w:pStyle w:val="ListParagraph"/>
        <w:numPr>
          <w:ilvl w:val="0"/>
          <w:numId w:val="8"/>
        </w:numPr>
        <w:spacing w:before="120" w:after="120" w:line="288" w:lineRule="auto"/>
        <w:ind w:left="0" w:firstLine="567"/>
        <w:jc w:val="both"/>
      </w:pPr>
      <w:r w:rsidRPr="00EE757A">
        <w:rPr>
          <w:b/>
          <w:bCs/>
        </w:rPr>
        <w:t>Вероятното бъдещо развитие на предприятието</w:t>
      </w:r>
    </w:p>
    <w:p w:rsidR="00B23C23" w:rsidRPr="00C62311" w:rsidRDefault="00B23C23" w:rsidP="00B23C23">
      <w:pPr>
        <w:spacing w:before="120" w:after="120" w:line="288" w:lineRule="auto"/>
        <w:ind w:firstLine="709"/>
        <w:jc w:val="both"/>
      </w:pPr>
      <w:r w:rsidRPr="00C62311">
        <w:t xml:space="preserve">Болницата е уникална за североизточна България и на нейната помощ разчитат пациентите от цяла Варна и </w:t>
      </w:r>
      <w:r w:rsidR="009D74FF" w:rsidRPr="00C62311">
        <w:t>региона</w:t>
      </w:r>
      <w:r w:rsidRPr="00C62311">
        <w:t>. Спазвайки необходимостта от наличието на няколко различни спешни екипа 24 часа в денонощието не можем да си позволим съкращение на персонала. Решаването на тези проблеми е свързано и с възможността за привличане на повече и платежоспособни пациенти, които от своя страна ще спомогнат за подобряване финансовото състояние на болницата.</w:t>
      </w:r>
    </w:p>
    <w:p w:rsidR="00B23C23" w:rsidRPr="00C62311" w:rsidRDefault="00B23C23" w:rsidP="00B23C23">
      <w:pPr>
        <w:spacing w:before="120" w:after="120" w:line="288" w:lineRule="auto"/>
        <w:ind w:firstLine="709"/>
        <w:jc w:val="both"/>
      </w:pPr>
      <w:r w:rsidRPr="00C62311">
        <w:t xml:space="preserve">Важно перо за болницата са </w:t>
      </w:r>
      <w:r w:rsidR="009D74FF" w:rsidRPr="00C62311">
        <w:t>п</w:t>
      </w:r>
      <w:r w:rsidRPr="00C62311">
        <w:t>риходите от платени медицински услуги, които в период на криза са от изключителна важност за финансовото стабилизиране на болницата.</w:t>
      </w:r>
    </w:p>
    <w:p w:rsidR="00B23C23" w:rsidRPr="00C62311" w:rsidRDefault="00B23C23" w:rsidP="00B23C23">
      <w:pPr>
        <w:spacing w:before="120" w:after="120" w:line="288" w:lineRule="auto"/>
        <w:ind w:firstLine="720"/>
        <w:jc w:val="both"/>
      </w:pPr>
      <w:r w:rsidRPr="00C62311">
        <w:t xml:space="preserve">Целта на дружеството остава на първо място оказване на ефикасна медицинска помощ и запазване здравето на пациентите, нуждаещи се от здравни грижи, с което да затвърди доброто име на болницата сред </w:t>
      </w:r>
      <w:r w:rsidR="009D74FF" w:rsidRPr="00C62311">
        <w:t>в</w:t>
      </w:r>
      <w:r w:rsidRPr="00C62311">
        <w:t>арненската общественост.</w:t>
      </w:r>
    </w:p>
    <w:p w:rsidR="00EE757A" w:rsidRDefault="00EE757A" w:rsidP="00EE757A">
      <w:pPr>
        <w:pStyle w:val="ListParagraph"/>
        <w:numPr>
          <w:ilvl w:val="0"/>
          <w:numId w:val="8"/>
        </w:numPr>
        <w:spacing w:before="120" w:after="120"/>
        <w:ind w:left="0" w:firstLine="720"/>
        <w:jc w:val="both"/>
      </w:pPr>
      <w:r>
        <w:rPr>
          <w:b/>
          <w:bCs/>
        </w:rPr>
        <w:t>Д</w:t>
      </w:r>
      <w:r w:rsidRPr="00EE757A">
        <w:rPr>
          <w:b/>
          <w:bCs/>
        </w:rPr>
        <w:t>ействията в областта на научноизследователската и развойната дейност</w:t>
      </w:r>
      <w:r>
        <w:t>:</w:t>
      </w:r>
    </w:p>
    <w:p w:rsidR="00EE757A" w:rsidRPr="00EE757A" w:rsidRDefault="00EE757A" w:rsidP="00EE757A">
      <w:pPr>
        <w:pStyle w:val="ListParagraph"/>
        <w:spacing w:before="120" w:after="120"/>
        <w:ind w:left="0" w:firstLine="567"/>
        <w:jc w:val="both"/>
        <w:rPr>
          <w:color w:val="000000"/>
        </w:rPr>
      </w:pPr>
      <w:r>
        <w:rPr>
          <w:color w:val="000000"/>
          <w:spacing w:val="-10"/>
        </w:rPr>
        <w:t xml:space="preserve">През 2016 г. дружеството </w:t>
      </w:r>
      <w:r w:rsidRPr="00EE757A">
        <w:rPr>
          <w:color w:val="000000"/>
          <w:spacing w:val="-10"/>
        </w:rPr>
        <w:t xml:space="preserve">не е осъществявало действия в областта па </w:t>
      </w:r>
      <w:r w:rsidRPr="00EE757A">
        <w:rPr>
          <w:color w:val="000000"/>
        </w:rPr>
        <w:t>научноизследователската и развойната дейност</w:t>
      </w:r>
      <w:r>
        <w:rPr>
          <w:color w:val="000000"/>
        </w:rPr>
        <w:t>.</w:t>
      </w:r>
    </w:p>
    <w:p w:rsidR="006D7528" w:rsidRPr="00EE757A" w:rsidRDefault="006D7528" w:rsidP="00EE757A">
      <w:pPr>
        <w:pStyle w:val="ListParagraph"/>
        <w:numPr>
          <w:ilvl w:val="0"/>
          <w:numId w:val="8"/>
        </w:numPr>
        <w:spacing w:before="120" w:after="120"/>
        <w:ind w:left="0" w:firstLine="720"/>
        <w:jc w:val="both"/>
        <w:rPr>
          <w:b/>
          <w:bCs/>
        </w:rPr>
      </w:pPr>
      <w:r w:rsidRPr="00EE757A">
        <w:rPr>
          <w:b/>
          <w:bCs/>
        </w:rPr>
        <w:t>Дружеството не попада в групата на предприятията от обществен интерес по реда, по който те са дефинирани в § 1, т. 22 от Допълнителните разпоредби към Закона за счетоводството. Съгласно § 1д. от Допълнителните разпоредби към Закона за публично предлагане на ценни книжа обаче, независимо че дружеството не е емитент на ценни книжа, то трябва да разкрие и следната допълнителна информация:</w:t>
      </w:r>
    </w:p>
    <w:p w:rsidR="00B23C23" w:rsidRPr="0071675D" w:rsidRDefault="006D7528" w:rsidP="00794C24">
      <w:pPr>
        <w:pStyle w:val="ListParagraph"/>
        <w:numPr>
          <w:ilvl w:val="0"/>
          <w:numId w:val="4"/>
        </w:numPr>
        <w:spacing w:before="120" w:after="120" w:line="288" w:lineRule="auto"/>
        <w:ind w:left="0" w:firstLine="567"/>
        <w:jc w:val="both"/>
        <w:rPr>
          <w:rFonts w:asciiTheme="majorBidi" w:hAnsiTheme="majorBidi" w:cstheme="majorBidi"/>
          <w:i/>
          <w:iCs/>
          <w:lang w:val="en-US"/>
        </w:rPr>
      </w:pPr>
      <w:r w:rsidRPr="0071675D">
        <w:rPr>
          <w:rFonts w:asciiTheme="majorBidi" w:hAnsiTheme="majorBidi" w:cstheme="majorBidi"/>
          <w:bCs/>
          <w:i/>
          <w:iCs/>
        </w:rPr>
        <w:t>Информация, дадена в стойностно и количествено изражение относно основните категории стоки, продукти и/или предоставени услуги, с посочване на техния дял в приходите от продажби на емитента, съответно лицето по § 1д от допълнителните разпоредби на ЗППЦК, като цяло и промените, настъпили през отчетната финансова година.</w:t>
      </w:r>
    </w:p>
    <w:p w:rsidR="0071675D" w:rsidRPr="0071675D" w:rsidRDefault="0071675D" w:rsidP="0071675D">
      <w:pPr>
        <w:pStyle w:val="ListParagraph"/>
        <w:spacing w:before="120" w:after="120" w:line="288" w:lineRule="auto"/>
        <w:ind w:left="0" w:firstLine="567"/>
        <w:jc w:val="both"/>
        <w:rPr>
          <w:rFonts w:asciiTheme="majorBidi" w:hAnsiTheme="majorBidi" w:cstheme="majorBidi"/>
          <w:lang w:val="en-US"/>
        </w:rPr>
      </w:pPr>
      <w:r>
        <w:rPr>
          <w:rFonts w:asciiTheme="majorBidi" w:hAnsiTheme="majorBidi" w:cstheme="majorBidi"/>
          <w:bCs/>
        </w:rPr>
        <w:t>Информация по точка 1 е представена в частта „Характеристика на дейността“ от настоящия доклад.</w:t>
      </w:r>
    </w:p>
    <w:p w:rsidR="006D7528" w:rsidRDefault="006D7528" w:rsidP="0071675D">
      <w:pPr>
        <w:pStyle w:val="ListParagraph"/>
        <w:numPr>
          <w:ilvl w:val="0"/>
          <w:numId w:val="4"/>
        </w:numPr>
        <w:ind w:left="0" w:firstLine="567"/>
        <w:jc w:val="both"/>
        <w:rPr>
          <w:rFonts w:asciiTheme="majorBidi" w:hAnsiTheme="majorBidi" w:cstheme="majorBidi"/>
          <w:bCs/>
          <w:i/>
          <w:iCs/>
        </w:rPr>
      </w:pPr>
      <w:r w:rsidRPr="0071675D">
        <w:rPr>
          <w:rFonts w:asciiTheme="majorBidi" w:hAnsiTheme="majorBidi" w:cstheme="majorBidi"/>
          <w:bCs/>
          <w:i/>
          <w:iCs/>
        </w:rPr>
        <w:t>Информация относно приходите, разпределени по отделните категории дейности, вътрешни и външни пазари, както и информация за източниците за снабдяване с материали, необходими за производството на стоки или предоставянето на услуги с отразяване степента на зависимост по отношение на всеки отделен продавач или купувач/потребител, като в случай, че относителният дял на някой от тях надхвърля 10 на сто от разходите или приходите от продажби, се предоставя информация за всяко лице поотделно, за неговия дял в продажбите или покупките и  връзките му с емитента, съответно лицето по § 1д от допълнителните разпоредби на ЗППЦК.</w:t>
      </w:r>
    </w:p>
    <w:p w:rsidR="0071675D" w:rsidRPr="0071675D" w:rsidRDefault="0071675D" w:rsidP="0071675D">
      <w:pPr>
        <w:spacing w:before="120" w:after="120" w:line="288" w:lineRule="auto"/>
        <w:ind w:firstLine="567"/>
        <w:jc w:val="both"/>
        <w:rPr>
          <w:rFonts w:asciiTheme="majorBidi" w:hAnsiTheme="majorBidi" w:cstheme="majorBidi"/>
          <w:lang w:val="en-US"/>
        </w:rPr>
      </w:pPr>
      <w:r>
        <w:rPr>
          <w:rFonts w:asciiTheme="majorBidi" w:hAnsiTheme="majorBidi" w:cstheme="majorBidi"/>
          <w:bCs/>
        </w:rPr>
        <w:t>Информация по точка 2</w:t>
      </w:r>
      <w:r w:rsidRPr="0071675D">
        <w:rPr>
          <w:rFonts w:asciiTheme="majorBidi" w:hAnsiTheme="majorBidi" w:cstheme="majorBidi"/>
          <w:bCs/>
        </w:rPr>
        <w:t xml:space="preserve"> е представена в частта „Характеристика на дейността“ от настоящия доклад.</w:t>
      </w:r>
    </w:p>
    <w:p w:rsidR="006D7528" w:rsidRPr="00160457" w:rsidRDefault="006D7528" w:rsidP="006D7528">
      <w:pPr>
        <w:pStyle w:val="ListParagraph"/>
        <w:numPr>
          <w:ilvl w:val="0"/>
          <w:numId w:val="4"/>
        </w:numPr>
        <w:spacing w:before="120" w:after="120" w:line="288" w:lineRule="auto"/>
        <w:ind w:left="0" w:firstLine="720"/>
        <w:jc w:val="both"/>
        <w:rPr>
          <w:rFonts w:asciiTheme="majorBidi" w:hAnsiTheme="majorBidi" w:cstheme="majorBidi"/>
          <w:i/>
          <w:iCs/>
          <w:lang w:val="en-US"/>
        </w:rPr>
      </w:pPr>
      <w:r w:rsidRPr="00160457">
        <w:rPr>
          <w:rFonts w:asciiTheme="majorBidi" w:hAnsiTheme="majorBidi" w:cstheme="majorBidi"/>
          <w:bCs/>
          <w:i/>
          <w:iCs/>
        </w:rPr>
        <w:t>Информация за сключени съществени сделки.</w:t>
      </w:r>
    </w:p>
    <w:p w:rsidR="00160457" w:rsidRPr="00160457" w:rsidRDefault="00160457" w:rsidP="00160457">
      <w:pPr>
        <w:spacing w:before="120" w:after="120" w:line="288" w:lineRule="auto"/>
        <w:ind w:firstLine="720"/>
        <w:jc w:val="both"/>
        <w:rPr>
          <w:rFonts w:asciiTheme="majorBidi" w:hAnsiTheme="majorBidi" w:cstheme="majorBidi"/>
          <w:bCs/>
        </w:rPr>
      </w:pPr>
      <w:r w:rsidRPr="00160457">
        <w:rPr>
          <w:rFonts w:asciiTheme="majorBidi" w:hAnsiTheme="majorBidi" w:cstheme="majorBidi"/>
          <w:bCs/>
        </w:rPr>
        <w:t xml:space="preserve">През 2016 г. </w:t>
      </w:r>
      <w:r>
        <w:rPr>
          <w:rFonts w:asciiTheme="majorBidi" w:hAnsiTheme="majorBidi" w:cstheme="majorBidi"/>
          <w:bCs/>
        </w:rPr>
        <w:t xml:space="preserve">е сключен договор за </w:t>
      </w:r>
      <w:r w:rsidRPr="00160457">
        <w:rPr>
          <w:rFonts w:asciiTheme="majorBidi" w:hAnsiTheme="majorBidi" w:cstheme="majorBidi"/>
          <w:bCs/>
        </w:rPr>
        <w:t xml:space="preserve">безвъзмездно право на ползване върху имот – публична общинска собственост </w:t>
      </w:r>
      <w:r>
        <w:rPr>
          <w:rFonts w:asciiTheme="majorBidi" w:hAnsiTheme="majorBidi" w:cstheme="majorBidi"/>
          <w:bCs/>
        </w:rPr>
        <w:t>с</w:t>
      </w:r>
      <w:r w:rsidRPr="00160457">
        <w:rPr>
          <w:rFonts w:asciiTheme="majorBidi" w:hAnsiTheme="majorBidi" w:cstheme="majorBidi"/>
          <w:bCs/>
        </w:rPr>
        <w:t xml:space="preserve"> Община Варна</w:t>
      </w:r>
      <w:r>
        <w:rPr>
          <w:rFonts w:asciiTheme="majorBidi" w:hAnsiTheme="majorBidi" w:cstheme="majorBidi"/>
          <w:bCs/>
        </w:rPr>
        <w:t>. С</w:t>
      </w:r>
      <w:r w:rsidRPr="00160457">
        <w:rPr>
          <w:rFonts w:asciiTheme="majorBidi" w:hAnsiTheme="majorBidi" w:cstheme="majorBidi"/>
          <w:bCs/>
        </w:rPr>
        <w:t>рок</w:t>
      </w:r>
      <w:r>
        <w:rPr>
          <w:rFonts w:asciiTheme="majorBidi" w:hAnsiTheme="majorBidi" w:cstheme="majorBidi"/>
          <w:bCs/>
        </w:rPr>
        <w:t>ът на ползване</w:t>
      </w:r>
      <w:r w:rsidRPr="00160457">
        <w:rPr>
          <w:rFonts w:asciiTheme="majorBidi" w:hAnsiTheme="majorBidi" w:cstheme="majorBidi"/>
          <w:bCs/>
        </w:rPr>
        <w:t xml:space="preserve"> от пет години</w:t>
      </w:r>
      <w:r>
        <w:rPr>
          <w:rFonts w:asciiTheme="majorBidi" w:hAnsiTheme="majorBidi" w:cstheme="majorBidi"/>
          <w:bCs/>
        </w:rPr>
        <w:t>. Правото на ползване е</w:t>
      </w:r>
      <w:r w:rsidR="002647D7">
        <w:rPr>
          <w:rFonts w:asciiTheme="majorBidi" w:hAnsiTheme="majorBidi" w:cstheme="majorBidi"/>
          <w:bCs/>
        </w:rPr>
        <w:t xml:space="preserve"> оценено на 98</w:t>
      </w:r>
      <w:r w:rsidRPr="00160457">
        <w:rPr>
          <w:rFonts w:asciiTheme="majorBidi" w:hAnsiTheme="majorBidi" w:cstheme="majorBidi"/>
          <w:bCs/>
        </w:rPr>
        <w:t xml:space="preserve"> хил. лв., отчетено </w:t>
      </w:r>
      <w:r>
        <w:rPr>
          <w:rFonts w:asciiTheme="majorBidi" w:hAnsiTheme="majorBidi" w:cstheme="majorBidi"/>
          <w:bCs/>
        </w:rPr>
        <w:t xml:space="preserve">е </w:t>
      </w:r>
      <w:r w:rsidRPr="00160457">
        <w:rPr>
          <w:rFonts w:asciiTheme="majorBidi" w:hAnsiTheme="majorBidi" w:cstheme="majorBidi"/>
          <w:bCs/>
        </w:rPr>
        <w:t>като нематериален актив.</w:t>
      </w:r>
    </w:p>
    <w:p w:rsidR="006D7528" w:rsidRPr="00160457" w:rsidRDefault="006D7528" w:rsidP="006D7528">
      <w:pPr>
        <w:pStyle w:val="ListParagraph"/>
        <w:numPr>
          <w:ilvl w:val="0"/>
          <w:numId w:val="4"/>
        </w:numPr>
        <w:spacing w:before="120" w:after="120" w:line="288" w:lineRule="auto"/>
        <w:ind w:left="0" w:firstLine="720"/>
        <w:jc w:val="both"/>
        <w:rPr>
          <w:rFonts w:asciiTheme="majorBidi" w:hAnsiTheme="majorBidi" w:cstheme="majorBidi"/>
          <w:i/>
          <w:iCs/>
          <w:lang w:val="en-US"/>
        </w:rPr>
      </w:pPr>
      <w:r w:rsidRPr="00160457">
        <w:rPr>
          <w:rFonts w:asciiTheme="majorBidi" w:hAnsiTheme="majorBidi" w:cstheme="majorBidi"/>
          <w:bCs/>
          <w:i/>
          <w:iCs/>
        </w:rPr>
        <w:t>Информация относно сделките, сключени между емитента, съответно лицето по § 1д от допълнителните разпоредби на ЗППЦК, и свързани лица, през отчетния период, предложения за сключване на такива сделки, както и сделки, които са извън обичайната му дейност или съществено се отклоняват от пазарните условия, по които емитентът, съответно лицето по § 1д от допълнителните разпоредби на ЗППЦК или негово дъщерно  дружество е страна с посочване на стойността на сделките, характера на свързаността и всяка информация, необходима за оценка на въздействието върху финансовото състояние на емитента, съответно лицето по § 1д от допълнителните разпоредби на ЗППЦК.</w:t>
      </w:r>
    </w:p>
    <w:p w:rsidR="00160457" w:rsidRDefault="00160457" w:rsidP="00160457">
      <w:pPr>
        <w:spacing w:before="120" w:after="120" w:line="288" w:lineRule="auto"/>
        <w:ind w:firstLine="567"/>
        <w:jc w:val="both"/>
        <w:rPr>
          <w:rFonts w:asciiTheme="majorBidi" w:hAnsiTheme="majorBidi" w:cstheme="majorBidi"/>
        </w:rPr>
      </w:pPr>
      <w:r>
        <w:rPr>
          <w:rFonts w:asciiTheme="majorBidi" w:hAnsiTheme="majorBidi" w:cstheme="majorBidi"/>
        </w:rPr>
        <w:t>Сделките със свързани лица са обичайни, не са налице отклонения от пазарните цени.</w:t>
      </w:r>
    </w:p>
    <w:p w:rsidR="00160457" w:rsidRPr="00846385" w:rsidRDefault="00160457" w:rsidP="00160457">
      <w:pPr>
        <w:spacing w:before="120" w:after="120" w:line="288" w:lineRule="auto"/>
        <w:ind w:firstLine="567"/>
        <w:jc w:val="both"/>
        <w:rPr>
          <w:rFonts w:asciiTheme="majorBidi" w:hAnsiTheme="majorBidi" w:cstheme="majorBidi"/>
        </w:rPr>
      </w:pPr>
      <w:r w:rsidRPr="00846385">
        <w:rPr>
          <w:rFonts w:asciiTheme="majorBidi" w:hAnsiTheme="majorBidi" w:cstheme="majorBidi"/>
        </w:rPr>
        <w:t>Общ размер на счетоводните приходи, реализирани от сд</w:t>
      </w:r>
      <w:r w:rsidR="00846385" w:rsidRPr="00846385">
        <w:rPr>
          <w:rFonts w:asciiTheme="majorBidi" w:hAnsiTheme="majorBidi" w:cstheme="majorBidi"/>
        </w:rPr>
        <w:t>елки със свързани лица 9 хил.лв</w:t>
      </w:r>
    </w:p>
    <w:p w:rsidR="00160457" w:rsidRPr="00846385" w:rsidRDefault="00160457" w:rsidP="00160457">
      <w:pPr>
        <w:spacing w:before="120" w:after="120" w:line="288" w:lineRule="auto"/>
        <w:ind w:firstLine="567"/>
        <w:jc w:val="both"/>
        <w:rPr>
          <w:rFonts w:asciiTheme="majorBidi" w:hAnsiTheme="majorBidi" w:cstheme="majorBidi"/>
        </w:rPr>
      </w:pPr>
      <w:r w:rsidRPr="00846385">
        <w:rPr>
          <w:rFonts w:asciiTheme="majorBidi" w:hAnsiTheme="majorBidi" w:cstheme="majorBidi"/>
        </w:rPr>
        <w:t>Общ размер на счетоводните разходи, начислени по сделки със свързани лица</w:t>
      </w:r>
      <w:r w:rsidR="00846385" w:rsidRPr="00846385">
        <w:rPr>
          <w:rFonts w:asciiTheme="majorBidi" w:hAnsiTheme="majorBidi" w:cstheme="majorBidi"/>
        </w:rPr>
        <w:t xml:space="preserve"> няма.</w:t>
      </w:r>
    </w:p>
    <w:p w:rsidR="006D7528" w:rsidRPr="00160457" w:rsidRDefault="006D7528" w:rsidP="006D7528">
      <w:pPr>
        <w:pStyle w:val="ListParagraph"/>
        <w:numPr>
          <w:ilvl w:val="0"/>
          <w:numId w:val="4"/>
        </w:numPr>
        <w:spacing w:before="120" w:after="120" w:line="288" w:lineRule="auto"/>
        <w:ind w:left="0" w:firstLine="720"/>
        <w:jc w:val="both"/>
        <w:rPr>
          <w:rFonts w:asciiTheme="majorBidi" w:hAnsiTheme="majorBidi" w:cstheme="majorBidi"/>
          <w:i/>
          <w:iCs/>
          <w:lang w:val="en-US"/>
        </w:rPr>
      </w:pPr>
      <w:r w:rsidRPr="00160457">
        <w:rPr>
          <w:rFonts w:asciiTheme="majorBidi" w:hAnsiTheme="majorBidi" w:cstheme="majorBidi"/>
          <w:bCs/>
          <w:i/>
          <w:iCs/>
        </w:rPr>
        <w:t>Информация за събития и показатели с необичаен за емитента, съответно лицето по § 1д от допълнителните разпоредби на ЗППЦК, характер, имащи съществено влияние върху дейността му,  и реализираните от него приходи и извършени разходи; оценка на влиянието им върху резултатите през текущата година.</w:t>
      </w:r>
    </w:p>
    <w:p w:rsidR="00160457" w:rsidRPr="00160457" w:rsidRDefault="00160457" w:rsidP="00160457">
      <w:pPr>
        <w:pStyle w:val="ListParagraph"/>
        <w:spacing w:before="120" w:after="120" w:line="288" w:lineRule="auto"/>
        <w:ind w:left="0" w:firstLine="720"/>
        <w:jc w:val="both"/>
        <w:rPr>
          <w:rFonts w:asciiTheme="majorBidi" w:hAnsiTheme="majorBidi" w:cstheme="majorBidi"/>
          <w:lang w:val="en-US"/>
        </w:rPr>
      </w:pPr>
      <w:r>
        <w:rPr>
          <w:rFonts w:asciiTheme="majorBidi" w:hAnsiTheme="majorBidi" w:cstheme="majorBidi"/>
          <w:bCs/>
        </w:rPr>
        <w:t>През отчетния период не са настъпили събития с необичаен характер, имащи отношение върху дейността на дружеството.</w:t>
      </w:r>
    </w:p>
    <w:p w:rsidR="006D7528" w:rsidRPr="008B0964" w:rsidRDefault="006D7528" w:rsidP="006D7528">
      <w:pPr>
        <w:pStyle w:val="ListParagraph"/>
        <w:numPr>
          <w:ilvl w:val="0"/>
          <w:numId w:val="4"/>
        </w:numPr>
        <w:spacing w:before="120" w:after="120" w:line="288" w:lineRule="auto"/>
        <w:ind w:left="0" w:firstLine="720"/>
        <w:jc w:val="both"/>
        <w:rPr>
          <w:rFonts w:asciiTheme="majorBidi" w:hAnsiTheme="majorBidi" w:cstheme="majorBidi"/>
          <w:i/>
          <w:iCs/>
          <w:lang w:val="en-US"/>
        </w:rPr>
      </w:pPr>
      <w:r w:rsidRPr="008B0964">
        <w:rPr>
          <w:rFonts w:asciiTheme="majorBidi" w:hAnsiTheme="majorBidi" w:cstheme="majorBidi"/>
          <w:bCs/>
          <w:i/>
          <w:iCs/>
        </w:rPr>
        <w:t>Информация за сделки, водени извън балансово - характер и бизнес цел, посочване финансовото въздействие на сделките върху дейността, ако рискът и ползите от тези сделки са съществени за емитента, съответно лицето по § 1д от допълнителните разпоредби на ЗППЦК, и ако разкриването на тази информация е съществено за оценката на финансовото състояние на емитента, съответно лицето по  § 1д от допълнителните разпоредби на ЗППЦК.</w:t>
      </w:r>
      <w:r w:rsidRPr="008B0964">
        <w:rPr>
          <w:rFonts w:asciiTheme="majorBidi" w:hAnsiTheme="majorBidi" w:cstheme="majorBidi"/>
          <w:bCs/>
          <w:i/>
          <w:iCs/>
        </w:rPr>
        <w:tab/>
      </w:r>
    </w:p>
    <w:p w:rsidR="00794C24" w:rsidRPr="00794C24" w:rsidRDefault="00794C24" w:rsidP="00794C24">
      <w:pPr>
        <w:pStyle w:val="ListParagraph"/>
        <w:spacing w:before="120" w:after="120" w:line="288" w:lineRule="auto"/>
        <w:ind w:left="0" w:firstLine="567"/>
        <w:jc w:val="both"/>
        <w:rPr>
          <w:rFonts w:asciiTheme="majorBidi" w:hAnsiTheme="majorBidi" w:cstheme="majorBidi"/>
        </w:rPr>
      </w:pPr>
      <w:r>
        <w:rPr>
          <w:rFonts w:asciiTheme="majorBidi" w:hAnsiTheme="majorBidi" w:cstheme="majorBidi"/>
        </w:rPr>
        <w:t>На 29.12.2016 год. е сключен договор за отговорно пазене и съхранение на апаратура</w:t>
      </w:r>
      <w:r w:rsidR="008B0964">
        <w:rPr>
          <w:rFonts w:asciiTheme="majorBidi" w:hAnsiTheme="majorBidi" w:cstheme="majorBidi"/>
        </w:rPr>
        <w:t xml:space="preserve"> ( 1 брой рентгенов преносим апарат  и 1 брой мобилен ултразвуков апарат) </w:t>
      </w:r>
      <w:r>
        <w:rPr>
          <w:rFonts w:asciiTheme="majorBidi" w:hAnsiTheme="majorBidi" w:cstheme="majorBidi"/>
        </w:rPr>
        <w:t>с Министерство на здравеопазването, закупена в изпълнение на договор №РД – 11- 332 от 04.10.2016 год. по предварително дефиниран проект №4“Подобрено качество на пренаталната диагностика и нео</w:t>
      </w:r>
      <w:r w:rsidR="008B0964">
        <w:rPr>
          <w:rFonts w:asciiTheme="majorBidi" w:hAnsiTheme="majorBidi" w:cstheme="majorBidi"/>
        </w:rPr>
        <w:t>наталните грижи“, финансиран по Програма БГ 07 „Инициатива за общественото здраве“.</w:t>
      </w:r>
    </w:p>
    <w:p w:rsidR="006D7528" w:rsidRDefault="006D7528" w:rsidP="008B0964">
      <w:pPr>
        <w:pStyle w:val="ListParagraph"/>
        <w:numPr>
          <w:ilvl w:val="0"/>
          <w:numId w:val="4"/>
        </w:numPr>
        <w:ind w:left="0" w:firstLine="720"/>
        <w:jc w:val="both"/>
        <w:rPr>
          <w:rFonts w:asciiTheme="majorBidi" w:hAnsiTheme="majorBidi" w:cstheme="majorBidi"/>
          <w:bCs/>
          <w:i/>
          <w:iCs/>
        </w:rPr>
      </w:pPr>
      <w:r w:rsidRPr="008B0964">
        <w:rPr>
          <w:rFonts w:asciiTheme="majorBidi" w:hAnsiTheme="majorBidi" w:cstheme="majorBidi"/>
          <w:bCs/>
          <w:i/>
          <w:iCs/>
        </w:rPr>
        <w:t>Информация за дялови участия на емитента, съответно лицето по § 1д от допълнителните разпоредби на ЗППЦК,  за основните му инвестиции в страната и в чужбина (в ценни книжа, финансови инструменти, нематериални активи и недвижими имоти), както и инвестициите в дялови ценни книжа извън неговата група предприятия по смисъла на Закона засчетоводството и източниците/начините на финансиране.</w:t>
      </w:r>
    </w:p>
    <w:p w:rsidR="008B0964" w:rsidRDefault="008B0964" w:rsidP="008B0964">
      <w:pPr>
        <w:pStyle w:val="ListParagraph"/>
        <w:ind w:left="0" w:firstLine="567"/>
        <w:jc w:val="both"/>
      </w:pPr>
      <w:r>
        <w:rPr>
          <w:rFonts w:asciiTheme="majorBidi" w:hAnsiTheme="majorBidi" w:cstheme="majorBidi"/>
          <w:bCs/>
        </w:rPr>
        <w:t xml:space="preserve">Дялови участия в страната – 100% от капитала на </w:t>
      </w:r>
      <w:r w:rsidRPr="00C62311">
        <w:t>Амбулатория медицински център за доболнична помощ ЕООД</w:t>
      </w:r>
      <w:r>
        <w:t>.</w:t>
      </w:r>
    </w:p>
    <w:p w:rsidR="008B0964" w:rsidRPr="008B0964" w:rsidRDefault="008B0964" w:rsidP="008B0964">
      <w:pPr>
        <w:pStyle w:val="ListParagraph"/>
        <w:ind w:left="0" w:firstLine="567"/>
        <w:jc w:val="both"/>
        <w:rPr>
          <w:rFonts w:asciiTheme="majorBidi" w:hAnsiTheme="majorBidi" w:cstheme="majorBidi"/>
          <w:bCs/>
        </w:rPr>
      </w:pPr>
      <w:r>
        <w:t>Дружеството няма дялови участия и не притежава инвестиции в чужбина.</w:t>
      </w:r>
    </w:p>
    <w:p w:rsidR="006D7528" w:rsidRPr="008B0964" w:rsidRDefault="006D7528" w:rsidP="008B0964">
      <w:pPr>
        <w:pStyle w:val="ListParagraph"/>
        <w:numPr>
          <w:ilvl w:val="0"/>
          <w:numId w:val="4"/>
        </w:numPr>
        <w:spacing w:before="120" w:after="120" w:line="288" w:lineRule="auto"/>
        <w:ind w:left="0" w:firstLine="720"/>
        <w:rPr>
          <w:rFonts w:asciiTheme="majorBidi" w:hAnsiTheme="majorBidi" w:cstheme="majorBidi"/>
          <w:i/>
          <w:iCs/>
          <w:lang w:val="en-US"/>
        </w:rPr>
      </w:pPr>
      <w:r w:rsidRPr="008B0964">
        <w:rPr>
          <w:rFonts w:asciiTheme="majorBidi" w:hAnsiTheme="majorBidi" w:cstheme="majorBidi"/>
          <w:bCs/>
          <w:i/>
          <w:iCs/>
        </w:rPr>
        <w:t>Информация относно сключените от емитента, съответно лицето по § 1д от допълнителните разпоредби на ЗППЦК, от негово дъщерно дружество или дружество майка, в качеството им на заемополучатели, договори за заем с посочване на условията по тях, включително на крайните срокове за изплащане, както и информация за предоставени гаранции и поемане на задължения.</w:t>
      </w:r>
    </w:p>
    <w:p w:rsidR="008B0964" w:rsidRPr="008B0964" w:rsidRDefault="008B0964" w:rsidP="00FE597F">
      <w:pPr>
        <w:pStyle w:val="ListParagraph"/>
        <w:spacing w:before="120" w:after="120" w:line="288" w:lineRule="auto"/>
        <w:ind w:left="0" w:firstLine="567"/>
        <w:rPr>
          <w:rFonts w:asciiTheme="majorBidi" w:hAnsiTheme="majorBidi" w:cstheme="majorBidi"/>
          <w:lang w:val="en-US"/>
        </w:rPr>
      </w:pPr>
      <w:r>
        <w:rPr>
          <w:rFonts w:asciiTheme="majorBidi" w:hAnsiTheme="majorBidi" w:cstheme="majorBidi"/>
          <w:bCs/>
        </w:rPr>
        <w:t>През отчетния период дружеството и неговото дъщерно дружество не са сключвали договори за заем</w:t>
      </w:r>
      <w:r w:rsidR="00FE597F">
        <w:rPr>
          <w:rFonts w:asciiTheme="majorBidi" w:hAnsiTheme="majorBidi" w:cstheme="majorBidi"/>
          <w:bCs/>
        </w:rPr>
        <w:t>, в качеството им на заемополучатели. Не са предоставяли</w:t>
      </w:r>
      <w:r>
        <w:rPr>
          <w:rFonts w:asciiTheme="majorBidi" w:hAnsiTheme="majorBidi" w:cstheme="majorBidi"/>
          <w:bCs/>
        </w:rPr>
        <w:t xml:space="preserve"> гаранции.</w:t>
      </w:r>
    </w:p>
    <w:p w:rsidR="006D7528" w:rsidRPr="00FE597F" w:rsidRDefault="006D7528" w:rsidP="006D7528">
      <w:pPr>
        <w:pStyle w:val="ListParagraph"/>
        <w:numPr>
          <w:ilvl w:val="0"/>
          <w:numId w:val="4"/>
        </w:numPr>
        <w:spacing w:before="120" w:after="120" w:line="288" w:lineRule="auto"/>
        <w:ind w:left="0" w:firstLine="720"/>
        <w:jc w:val="both"/>
        <w:rPr>
          <w:rFonts w:asciiTheme="majorBidi" w:hAnsiTheme="majorBidi" w:cstheme="majorBidi"/>
          <w:i/>
          <w:iCs/>
          <w:lang w:val="en-US"/>
        </w:rPr>
      </w:pPr>
      <w:r w:rsidRPr="00FE597F">
        <w:rPr>
          <w:rFonts w:asciiTheme="majorBidi" w:hAnsiTheme="majorBidi" w:cstheme="majorBidi"/>
          <w:bCs/>
          <w:i/>
          <w:iCs/>
        </w:rPr>
        <w:t>Информация относно сключените от емитента, съответно лицето по § 1д от допълнителните разпоредби на ЗППЦК, от негово дъщерно дружество или дружество майка, в качеството им на заемодатели, договори за заем, включително предоставяне на гаранции от всякакъв вид, в това число на свързани лица, с посочване на конкретните условия по тях, включително на крайните срокове за плащане, и целта, за която са били отпуснати</w:t>
      </w:r>
      <w:r w:rsidR="00FE597F">
        <w:rPr>
          <w:rFonts w:asciiTheme="majorBidi" w:hAnsiTheme="majorBidi" w:cstheme="majorBidi"/>
          <w:bCs/>
          <w:i/>
          <w:iCs/>
        </w:rPr>
        <w:t>.</w:t>
      </w:r>
    </w:p>
    <w:p w:rsidR="00FE597F" w:rsidRPr="00FE597F" w:rsidRDefault="00FE597F" w:rsidP="00FE597F">
      <w:pPr>
        <w:spacing w:before="120" w:after="120" w:line="288" w:lineRule="auto"/>
        <w:ind w:firstLine="720"/>
        <w:rPr>
          <w:rFonts w:asciiTheme="majorBidi" w:hAnsiTheme="majorBidi" w:cstheme="majorBidi"/>
          <w:lang w:val="en-US"/>
        </w:rPr>
      </w:pPr>
      <w:r w:rsidRPr="00FE597F">
        <w:rPr>
          <w:rFonts w:asciiTheme="majorBidi" w:hAnsiTheme="majorBidi" w:cstheme="majorBidi"/>
          <w:bCs/>
        </w:rPr>
        <w:t>През отчетния период дружеството и неговото дъщерно дружество не са сключвали договори за заем</w:t>
      </w:r>
      <w:r>
        <w:rPr>
          <w:rFonts w:asciiTheme="majorBidi" w:hAnsiTheme="majorBidi" w:cstheme="majorBidi"/>
          <w:bCs/>
        </w:rPr>
        <w:t>, в качеството им на заемодатели</w:t>
      </w:r>
      <w:r w:rsidRPr="00FE597F">
        <w:rPr>
          <w:rFonts w:asciiTheme="majorBidi" w:hAnsiTheme="majorBidi" w:cstheme="majorBidi"/>
          <w:bCs/>
        </w:rPr>
        <w:t xml:space="preserve"> и н</w:t>
      </w:r>
      <w:r>
        <w:rPr>
          <w:rFonts w:asciiTheme="majorBidi" w:hAnsiTheme="majorBidi" w:cstheme="majorBidi"/>
          <w:bCs/>
        </w:rPr>
        <w:t>е са предоставял</w:t>
      </w:r>
      <w:r w:rsidRPr="00FE597F">
        <w:rPr>
          <w:rFonts w:asciiTheme="majorBidi" w:hAnsiTheme="majorBidi" w:cstheme="majorBidi"/>
          <w:bCs/>
        </w:rPr>
        <w:t>и гаранции.</w:t>
      </w:r>
    </w:p>
    <w:p w:rsidR="006D7528" w:rsidRPr="00FE597F" w:rsidRDefault="006D7528" w:rsidP="006D7528">
      <w:pPr>
        <w:pStyle w:val="ListParagraph"/>
        <w:numPr>
          <w:ilvl w:val="0"/>
          <w:numId w:val="4"/>
        </w:numPr>
        <w:spacing w:before="120" w:after="120" w:line="288" w:lineRule="auto"/>
        <w:ind w:left="0" w:firstLine="720"/>
        <w:jc w:val="both"/>
        <w:rPr>
          <w:rFonts w:asciiTheme="majorBidi" w:hAnsiTheme="majorBidi" w:cstheme="majorBidi"/>
          <w:i/>
          <w:iCs/>
          <w:lang w:val="en-US"/>
        </w:rPr>
      </w:pPr>
      <w:r w:rsidRPr="00FE597F">
        <w:rPr>
          <w:rFonts w:asciiTheme="majorBidi" w:hAnsiTheme="majorBidi" w:cstheme="majorBidi"/>
          <w:bCs/>
          <w:i/>
          <w:iCs/>
        </w:rPr>
        <w:t>Информация за използването на средствата от извършена нова емисия ценни книжа през отчетния период.</w:t>
      </w:r>
    </w:p>
    <w:p w:rsidR="00FE597F" w:rsidRPr="00794C24" w:rsidRDefault="00FE597F" w:rsidP="00FE597F">
      <w:pPr>
        <w:pStyle w:val="ListParagraph"/>
        <w:spacing w:before="120" w:after="120" w:line="288" w:lineRule="auto"/>
        <w:jc w:val="both"/>
        <w:rPr>
          <w:rFonts w:asciiTheme="majorBidi" w:hAnsiTheme="majorBidi" w:cstheme="majorBidi"/>
          <w:lang w:val="en-US"/>
        </w:rPr>
      </w:pPr>
      <w:r>
        <w:rPr>
          <w:rFonts w:asciiTheme="majorBidi" w:hAnsiTheme="majorBidi" w:cstheme="majorBidi"/>
          <w:bCs/>
        </w:rPr>
        <w:t>Дружеството не е емитент на ценни книжа.</w:t>
      </w:r>
    </w:p>
    <w:p w:rsidR="006D7528" w:rsidRPr="00FE597F" w:rsidRDefault="006D7528" w:rsidP="006D7528">
      <w:pPr>
        <w:pStyle w:val="ListParagraph"/>
        <w:numPr>
          <w:ilvl w:val="0"/>
          <w:numId w:val="4"/>
        </w:numPr>
        <w:spacing w:before="120" w:after="120" w:line="288" w:lineRule="auto"/>
        <w:ind w:left="0" w:firstLine="720"/>
        <w:jc w:val="both"/>
        <w:rPr>
          <w:rFonts w:asciiTheme="majorBidi" w:hAnsiTheme="majorBidi" w:cstheme="majorBidi"/>
          <w:i/>
          <w:iCs/>
          <w:lang w:val="en-US"/>
        </w:rPr>
      </w:pPr>
      <w:r w:rsidRPr="00FE597F">
        <w:rPr>
          <w:rFonts w:asciiTheme="majorBidi" w:hAnsiTheme="majorBidi" w:cstheme="majorBidi"/>
          <w:bCs/>
          <w:i/>
          <w:iCs/>
        </w:rPr>
        <w:t>Анализ на съотношението между постигнатите финансови резултати, отразени във финансовия отчет за финансовата година, и по-рано публикувани прогнози за тези резултати.</w:t>
      </w:r>
    </w:p>
    <w:p w:rsidR="00FE597F" w:rsidRPr="00FE597F" w:rsidRDefault="00FE597F" w:rsidP="00FE597F">
      <w:pPr>
        <w:pStyle w:val="ListParagraph"/>
        <w:spacing w:before="120" w:after="120" w:line="288" w:lineRule="auto"/>
        <w:ind w:left="142" w:firstLine="425"/>
        <w:jc w:val="both"/>
        <w:rPr>
          <w:rFonts w:asciiTheme="majorBidi" w:hAnsiTheme="majorBidi" w:cstheme="majorBidi"/>
          <w:lang w:val="en-US"/>
        </w:rPr>
      </w:pPr>
      <w:r>
        <w:rPr>
          <w:rFonts w:asciiTheme="majorBidi" w:hAnsiTheme="majorBidi" w:cstheme="majorBidi"/>
          <w:bCs/>
        </w:rPr>
        <w:t>Дружеството не е публикувало прогнози относно финансовите си резултати. Разликата в представените в годишния финансов отчет финансови резултати се дължи на: промени в приблизителните оценки на активите и пасивите; до датата на изготвяне на годишния финансов отчет са получени допълнителни документи, които касаят финансовия резултат на Дружеството за 2016 год.</w:t>
      </w:r>
    </w:p>
    <w:p w:rsidR="006D7528" w:rsidRPr="007524BC" w:rsidRDefault="006D7528" w:rsidP="006D7528">
      <w:pPr>
        <w:pStyle w:val="ListParagraph"/>
        <w:numPr>
          <w:ilvl w:val="0"/>
          <w:numId w:val="4"/>
        </w:numPr>
        <w:spacing w:before="120" w:after="120" w:line="288" w:lineRule="auto"/>
        <w:ind w:left="0" w:firstLine="720"/>
        <w:jc w:val="both"/>
        <w:rPr>
          <w:rFonts w:asciiTheme="majorBidi" w:hAnsiTheme="majorBidi" w:cstheme="majorBidi"/>
          <w:i/>
          <w:iCs/>
          <w:lang w:val="en-US"/>
        </w:rPr>
      </w:pPr>
      <w:r w:rsidRPr="007524BC">
        <w:rPr>
          <w:rFonts w:asciiTheme="majorBidi" w:hAnsiTheme="majorBidi" w:cstheme="majorBidi"/>
          <w:bCs/>
          <w:i/>
          <w:iCs/>
        </w:rPr>
        <w:t>Анализ и оценка на политиката  относно управлението на финансовите ресурси с посочване на възможностите за обслужване на задълженията, евентуалните заплахи и мерки, които емитентът, съответно лицето по § 1д от допълнителните разпоредби на ЗППЦК, е  предприел или предстои да предприеме с оглед отстраняването им.</w:t>
      </w:r>
    </w:p>
    <w:p w:rsidR="007524BC" w:rsidRPr="00794C24" w:rsidRDefault="007524BC" w:rsidP="007524BC">
      <w:pPr>
        <w:pStyle w:val="ListParagraph"/>
        <w:spacing w:before="120" w:after="120" w:line="288" w:lineRule="auto"/>
        <w:ind w:left="0" w:firstLine="567"/>
        <w:jc w:val="both"/>
        <w:rPr>
          <w:rFonts w:asciiTheme="majorBidi" w:hAnsiTheme="majorBidi" w:cstheme="majorBidi"/>
          <w:lang w:val="en-US"/>
        </w:rPr>
      </w:pPr>
      <w:r>
        <w:rPr>
          <w:rFonts w:asciiTheme="majorBidi" w:hAnsiTheme="majorBidi" w:cstheme="majorBidi"/>
          <w:bCs/>
        </w:rPr>
        <w:t>С оглед на управление на финансовия риск дружеството извършва финансово планиране и договаряне на условията по доставки с цел да не се допусне не обслужване на задължения и разходи. Паричните постъпления и плащания се координират от гледна точка на срочност и размери. До голяма степен плащанията се обвързват с очакваните постъпления от НЗОК. Към края на 2016 год. не са налице просрочени задължения, въпреки че през годината е имало временни недостиците на парични средства.</w:t>
      </w:r>
    </w:p>
    <w:p w:rsidR="006D7528" w:rsidRPr="007524BC" w:rsidRDefault="006D7528" w:rsidP="006D7528">
      <w:pPr>
        <w:pStyle w:val="ListParagraph"/>
        <w:numPr>
          <w:ilvl w:val="0"/>
          <w:numId w:val="4"/>
        </w:numPr>
        <w:spacing w:before="120" w:after="120" w:line="288" w:lineRule="auto"/>
        <w:ind w:left="0" w:firstLine="720"/>
        <w:jc w:val="both"/>
        <w:rPr>
          <w:rFonts w:asciiTheme="majorBidi" w:hAnsiTheme="majorBidi" w:cstheme="majorBidi"/>
          <w:i/>
          <w:iCs/>
          <w:lang w:val="en-US"/>
        </w:rPr>
      </w:pPr>
      <w:r w:rsidRPr="007524BC">
        <w:rPr>
          <w:rFonts w:asciiTheme="majorBidi" w:hAnsiTheme="majorBidi" w:cstheme="majorBidi"/>
          <w:bCs/>
          <w:i/>
          <w:iCs/>
        </w:rPr>
        <w:t>Оценка на възможностите за реализация на инвестиционните намерения с посочване на размера на разполагаемите средства и отразяване на възможните промени в структурата на финансиране на тази дейност.</w:t>
      </w:r>
    </w:p>
    <w:p w:rsidR="00746608" w:rsidRPr="002647D7" w:rsidRDefault="000341CF" w:rsidP="00746608">
      <w:pPr>
        <w:pStyle w:val="ListParagraph"/>
        <w:spacing w:before="120" w:after="120" w:line="288" w:lineRule="auto"/>
        <w:ind w:left="0" w:firstLine="567"/>
        <w:jc w:val="both"/>
        <w:rPr>
          <w:rFonts w:asciiTheme="majorBidi" w:hAnsiTheme="majorBidi" w:cstheme="majorBidi"/>
        </w:rPr>
      </w:pPr>
      <w:r>
        <w:rPr>
          <w:rFonts w:asciiTheme="majorBidi" w:hAnsiTheme="majorBidi" w:cstheme="majorBidi"/>
        </w:rPr>
        <w:t>Поради спецификата на дейността д</w:t>
      </w:r>
      <w:r w:rsidR="007524BC">
        <w:rPr>
          <w:rFonts w:asciiTheme="majorBidi" w:hAnsiTheme="majorBidi" w:cstheme="majorBidi"/>
        </w:rPr>
        <w:t xml:space="preserve">ружеството не </w:t>
      </w:r>
      <w:r>
        <w:rPr>
          <w:rFonts w:asciiTheme="majorBidi" w:hAnsiTheme="majorBidi" w:cstheme="majorBidi"/>
        </w:rPr>
        <w:t xml:space="preserve">може да осигури необходимия финансов </w:t>
      </w:r>
      <w:r w:rsidRPr="002647D7">
        <w:rPr>
          <w:rFonts w:asciiTheme="majorBidi" w:hAnsiTheme="majorBidi" w:cstheme="majorBidi"/>
        </w:rPr>
        <w:t xml:space="preserve">ресурс </w:t>
      </w:r>
      <w:r w:rsidR="007524BC" w:rsidRPr="002647D7">
        <w:rPr>
          <w:rFonts w:asciiTheme="majorBidi" w:hAnsiTheme="majorBidi" w:cstheme="majorBidi"/>
        </w:rPr>
        <w:t>за да реализира инвестиционните си намерения</w:t>
      </w:r>
      <w:r w:rsidRPr="002647D7">
        <w:rPr>
          <w:rFonts w:asciiTheme="majorBidi" w:hAnsiTheme="majorBidi" w:cstheme="majorBidi"/>
        </w:rPr>
        <w:t xml:space="preserve"> със собствени средства</w:t>
      </w:r>
      <w:r w:rsidR="007524BC" w:rsidRPr="002647D7">
        <w:rPr>
          <w:rFonts w:asciiTheme="majorBidi" w:hAnsiTheme="majorBidi" w:cstheme="majorBidi"/>
        </w:rPr>
        <w:t xml:space="preserve">. </w:t>
      </w:r>
      <w:r w:rsidRPr="002647D7">
        <w:rPr>
          <w:rFonts w:asciiTheme="majorBidi" w:hAnsiTheme="majorBidi" w:cstheme="majorBidi"/>
        </w:rPr>
        <w:t>Във връзка с това получава</w:t>
      </w:r>
      <w:r w:rsidR="007524BC" w:rsidRPr="002647D7">
        <w:rPr>
          <w:rFonts w:asciiTheme="majorBidi" w:hAnsiTheme="majorBidi" w:cstheme="majorBidi"/>
        </w:rPr>
        <w:t xml:space="preserve"> финансовата подкрепа </w:t>
      </w:r>
      <w:r w:rsidRPr="002647D7">
        <w:rPr>
          <w:rFonts w:asciiTheme="majorBidi" w:hAnsiTheme="majorBidi" w:cstheme="majorBidi"/>
        </w:rPr>
        <w:t>от</w:t>
      </w:r>
      <w:r w:rsidR="007524BC" w:rsidRPr="002647D7">
        <w:rPr>
          <w:rFonts w:asciiTheme="majorBidi" w:hAnsiTheme="majorBidi" w:cstheme="majorBidi"/>
        </w:rPr>
        <w:t xml:space="preserve"> ед</w:t>
      </w:r>
      <w:r w:rsidRPr="002647D7">
        <w:rPr>
          <w:rFonts w:asciiTheme="majorBidi" w:hAnsiTheme="majorBidi" w:cstheme="majorBidi"/>
        </w:rPr>
        <w:t>ноличния собственик на капитала</w:t>
      </w:r>
      <w:r w:rsidR="007524BC" w:rsidRPr="002647D7">
        <w:rPr>
          <w:rFonts w:asciiTheme="majorBidi" w:hAnsiTheme="majorBidi" w:cstheme="majorBidi"/>
        </w:rPr>
        <w:t>.</w:t>
      </w:r>
      <w:r w:rsidRPr="002647D7">
        <w:rPr>
          <w:rFonts w:asciiTheme="majorBidi" w:hAnsiTheme="majorBidi" w:cstheme="majorBidi"/>
        </w:rPr>
        <w:t xml:space="preserve">  Организират се дарителски кампании за закупуване на медицинска апаратура и оборудване.</w:t>
      </w:r>
      <w:r w:rsidR="00746608" w:rsidRPr="002647D7">
        <w:rPr>
          <w:rFonts w:asciiTheme="majorBidi" w:hAnsiTheme="majorBidi" w:cstheme="majorBidi"/>
        </w:rPr>
        <w:t xml:space="preserve"> Дружеството има следните инвестиционни намерения и възможности за тяхното реализиране:</w:t>
      </w:r>
    </w:p>
    <w:p w:rsidR="00D1630B" w:rsidRPr="002647D7" w:rsidRDefault="00D1630B" w:rsidP="002647D7">
      <w:pPr>
        <w:pStyle w:val="ListParagraph"/>
        <w:spacing w:before="120" w:after="120" w:line="288" w:lineRule="auto"/>
        <w:ind w:left="0" w:firstLine="567"/>
        <w:jc w:val="both"/>
        <w:rPr>
          <w:rFonts w:asciiTheme="majorBidi" w:hAnsiTheme="majorBidi" w:cstheme="majorBidi"/>
        </w:rPr>
      </w:pPr>
      <w:r w:rsidRPr="002647D7">
        <w:rPr>
          <w:rFonts w:asciiTheme="majorBidi" w:hAnsiTheme="majorBidi" w:cstheme="majorBidi"/>
        </w:rPr>
        <w:t xml:space="preserve">През м. декември 2016 на общинска сесия са гласувани до 80 хил. лв. за извършване на ремонт на ниското тяло на сградата на </w:t>
      </w:r>
      <w:r w:rsidR="002647D7" w:rsidRPr="002647D7">
        <w:rPr>
          <w:rFonts w:asciiTheme="majorBidi" w:hAnsiTheme="majorBidi" w:cstheme="majorBidi"/>
        </w:rPr>
        <w:t>дружеството.</w:t>
      </w:r>
      <w:r w:rsidRPr="002647D7">
        <w:rPr>
          <w:rFonts w:asciiTheme="majorBidi" w:hAnsiTheme="majorBidi" w:cstheme="majorBidi"/>
        </w:rPr>
        <w:t xml:space="preserve">. </w:t>
      </w:r>
    </w:p>
    <w:p w:rsidR="00746608" w:rsidRPr="002647D7" w:rsidRDefault="00D1630B" w:rsidP="00746608">
      <w:pPr>
        <w:pStyle w:val="ListParagraph"/>
        <w:spacing w:before="120" w:after="120" w:line="288" w:lineRule="auto"/>
        <w:ind w:left="0" w:firstLine="567"/>
        <w:jc w:val="both"/>
        <w:rPr>
          <w:rFonts w:asciiTheme="majorBidi" w:hAnsiTheme="majorBidi" w:cstheme="majorBidi"/>
        </w:rPr>
      </w:pPr>
      <w:r w:rsidRPr="002647D7">
        <w:rPr>
          <w:rFonts w:asciiTheme="majorBidi" w:hAnsiTheme="majorBidi" w:cstheme="majorBidi"/>
        </w:rPr>
        <w:t>В резултат на благотворителни кампании са предоставини 29 хил.лв. за закупуване на хистероскоп, който престой да бъде доставен.</w:t>
      </w:r>
    </w:p>
    <w:p w:rsidR="00D1630B" w:rsidRPr="002647D7" w:rsidRDefault="00D1630B" w:rsidP="00746608">
      <w:pPr>
        <w:pStyle w:val="ListParagraph"/>
        <w:spacing w:before="120" w:after="120" w:line="288" w:lineRule="auto"/>
        <w:ind w:left="0" w:firstLine="567"/>
        <w:jc w:val="both"/>
        <w:rPr>
          <w:rFonts w:asciiTheme="majorBidi" w:hAnsiTheme="majorBidi" w:cstheme="majorBidi"/>
        </w:rPr>
      </w:pPr>
      <w:r w:rsidRPr="002647D7">
        <w:rPr>
          <w:rFonts w:asciiTheme="majorBidi" w:hAnsiTheme="majorBidi" w:cstheme="majorBidi"/>
        </w:rPr>
        <w:t>При осигуряване на налични средва дружеството има намерение да обнови апартурата, поднови сградния фонд и др.</w:t>
      </w:r>
    </w:p>
    <w:p w:rsidR="00794C24" w:rsidRPr="00D2510D" w:rsidRDefault="00794C24" w:rsidP="006D7528">
      <w:pPr>
        <w:pStyle w:val="ListParagraph"/>
        <w:numPr>
          <w:ilvl w:val="0"/>
          <w:numId w:val="4"/>
        </w:numPr>
        <w:spacing w:before="120" w:after="120" w:line="288" w:lineRule="auto"/>
        <w:ind w:left="0" w:firstLine="720"/>
        <w:jc w:val="both"/>
        <w:rPr>
          <w:rFonts w:asciiTheme="majorBidi" w:hAnsiTheme="majorBidi" w:cstheme="majorBidi"/>
          <w:i/>
          <w:iCs/>
          <w:lang w:val="en-US"/>
        </w:rPr>
      </w:pPr>
      <w:r w:rsidRPr="000341CF">
        <w:rPr>
          <w:rFonts w:asciiTheme="majorBidi" w:hAnsiTheme="majorBidi" w:cstheme="majorBidi"/>
          <w:bCs/>
          <w:i/>
          <w:iCs/>
        </w:rPr>
        <w:t>Информация за настъпили промени  през отчетния период в основните принципи за управление на емитента,  съответно лицето по § 1д от допълнителните разпоредби на ЗППЦК, и на  неговата група предприятия по смисъла на Закона за счетоводството.</w:t>
      </w:r>
    </w:p>
    <w:p w:rsidR="00D2510D" w:rsidRPr="00D2510D" w:rsidRDefault="00D2510D" w:rsidP="00D2510D">
      <w:pPr>
        <w:pStyle w:val="ListParagraph"/>
        <w:spacing w:before="120" w:after="120" w:line="288" w:lineRule="auto"/>
        <w:ind w:left="0" w:firstLine="567"/>
        <w:jc w:val="both"/>
        <w:rPr>
          <w:rFonts w:asciiTheme="majorBidi" w:hAnsiTheme="majorBidi" w:cstheme="majorBidi"/>
        </w:rPr>
      </w:pPr>
      <w:r w:rsidRPr="002647D7">
        <w:rPr>
          <w:rFonts w:asciiTheme="majorBidi" w:hAnsiTheme="majorBidi" w:cstheme="majorBidi"/>
        </w:rPr>
        <w:t>През отчетния период не са настъпили промени в основните принципи на управление на дружеството.</w:t>
      </w:r>
    </w:p>
    <w:p w:rsidR="00794C24" w:rsidRPr="00167499" w:rsidRDefault="00794C24" w:rsidP="006D7528">
      <w:pPr>
        <w:pStyle w:val="ListParagraph"/>
        <w:numPr>
          <w:ilvl w:val="0"/>
          <w:numId w:val="4"/>
        </w:numPr>
        <w:spacing w:before="120" w:after="120" w:line="288" w:lineRule="auto"/>
        <w:ind w:left="0" w:firstLine="720"/>
        <w:jc w:val="both"/>
        <w:rPr>
          <w:rFonts w:asciiTheme="majorBidi" w:hAnsiTheme="majorBidi" w:cstheme="majorBidi"/>
          <w:i/>
          <w:iCs/>
          <w:lang w:val="en-US"/>
        </w:rPr>
      </w:pPr>
      <w:r w:rsidRPr="00D2510D">
        <w:rPr>
          <w:rFonts w:asciiTheme="majorBidi" w:hAnsiTheme="majorBidi" w:cstheme="majorBidi"/>
          <w:bCs/>
          <w:i/>
          <w:iCs/>
        </w:rPr>
        <w:t>Информация за основните  характеристики на прилаганите от емитента, съответно лицето по § 1д от допълнителните разпоредби на ЗППЦК, в процеса на изготвяне на финансовите отчети система за вътрешен контрол и система за управление на рискове.</w:t>
      </w:r>
    </w:p>
    <w:p w:rsidR="00167499" w:rsidRDefault="00167499" w:rsidP="002647D7">
      <w:pPr>
        <w:pStyle w:val="ListParagraph"/>
        <w:spacing w:before="120" w:after="120" w:line="288" w:lineRule="auto"/>
        <w:ind w:left="0" w:firstLine="567"/>
        <w:jc w:val="both"/>
        <w:rPr>
          <w:rFonts w:asciiTheme="majorBidi" w:hAnsiTheme="majorBidi" w:cstheme="majorBidi"/>
          <w:bCs/>
        </w:rPr>
      </w:pPr>
      <w:r>
        <w:rPr>
          <w:rFonts w:asciiTheme="majorBidi" w:hAnsiTheme="majorBidi" w:cstheme="majorBidi"/>
          <w:bCs/>
        </w:rPr>
        <w:t>Установена е система за вътрешен контрол</w:t>
      </w:r>
      <w:r w:rsidR="00373AAD">
        <w:rPr>
          <w:rFonts w:asciiTheme="majorBidi" w:hAnsiTheme="majorBidi" w:cstheme="majorBidi"/>
          <w:bCs/>
        </w:rPr>
        <w:t xml:space="preserve"> (СВК)</w:t>
      </w:r>
      <w:r>
        <w:rPr>
          <w:rFonts w:asciiTheme="majorBidi" w:hAnsiTheme="majorBidi" w:cstheme="majorBidi"/>
          <w:bCs/>
        </w:rPr>
        <w:t xml:space="preserve">, целта на която е да защитава интересите и правата на едноличния собственик на капитала, запазване на активите чрез предотвратяване, разкриване и отстраняване на съществуващите изисквания и техните причини. </w:t>
      </w:r>
      <w:r w:rsidR="00373AAD">
        <w:rPr>
          <w:rFonts w:asciiTheme="majorBidi" w:hAnsiTheme="majorBidi" w:cstheme="majorBidi"/>
          <w:bCs/>
        </w:rPr>
        <w:t>СВК</w:t>
      </w:r>
      <w:r>
        <w:rPr>
          <w:rFonts w:asciiTheme="majorBidi" w:hAnsiTheme="majorBidi" w:cstheme="majorBidi"/>
          <w:bCs/>
        </w:rPr>
        <w:t xml:space="preserve"> се прилага за постигане на стратегически цели, повишаване на оперативната ефективност, снижаване на рисковете, осигуряване на надеждност и достоверност на отчетността в съответствие с нормативните изисквания. Участници в </w:t>
      </w:r>
      <w:r w:rsidR="00373AAD">
        <w:rPr>
          <w:rFonts w:asciiTheme="majorBidi" w:hAnsiTheme="majorBidi" w:cstheme="majorBidi"/>
          <w:bCs/>
        </w:rPr>
        <w:t>СВК</w:t>
      </w:r>
      <w:r>
        <w:rPr>
          <w:rFonts w:asciiTheme="majorBidi" w:hAnsiTheme="majorBidi" w:cstheme="majorBidi"/>
          <w:bCs/>
        </w:rPr>
        <w:t>, който осъществяват контролна дейност  на различни равнища са ръководството (управител, икономически директор, главен счетоводител) и ръководителите на отделните структурни подразделения.</w:t>
      </w:r>
      <w:r w:rsidR="00373AAD">
        <w:rPr>
          <w:rFonts w:asciiTheme="majorBidi" w:hAnsiTheme="majorBidi" w:cstheme="majorBidi"/>
          <w:bCs/>
        </w:rPr>
        <w:t xml:space="preserve">  Контролните функции на участниците в СВК са регламентирани със заповеди, в различните утвърдени правилници за дейността и в утвърдената система за финансово управление и контрол (СФУК).  На индивидуално ниво контролните функции на участниците в СВК се определят  в договорите и длъжностните им характеристики. </w:t>
      </w:r>
    </w:p>
    <w:p w:rsidR="00373AAD" w:rsidRDefault="00373AAD" w:rsidP="00373AAD">
      <w:pPr>
        <w:pStyle w:val="ListParagraph"/>
        <w:spacing w:before="120" w:after="120" w:line="288" w:lineRule="auto"/>
        <w:ind w:left="0" w:firstLine="720"/>
        <w:jc w:val="both"/>
        <w:rPr>
          <w:rFonts w:asciiTheme="majorBidi" w:hAnsiTheme="majorBidi" w:cstheme="majorBidi"/>
          <w:bCs/>
        </w:rPr>
      </w:pPr>
      <w:r>
        <w:rPr>
          <w:rFonts w:asciiTheme="majorBidi" w:hAnsiTheme="majorBidi" w:cstheme="majorBidi"/>
          <w:bCs/>
        </w:rPr>
        <w:t>Към СФУК е утвърден риск регистър по функционални направления, в които са определени правомощията и отговорностите, организацията и реда за взаимодействие при управление на рисковете, анализ и оценка на информация свързана с рисковете, изготвяне на периодична отчетност по управление на рисковете.</w:t>
      </w:r>
    </w:p>
    <w:p w:rsidR="002647D7" w:rsidRDefault="002647D7" w:rsidP="002647D7">
      <w:pPr>
        <w:pStyle w:val="ListParagraph"/>
        <w:spacing w:before="120" w:after="120" w:line="288" w:lineRule="auto"/>
        <w:ind w:left="0" w:firstLine="720"/>
        <w:jc w:val="both"/>
        <w:rPr>
          <w:rFonts w:asciiTheme="majorBidi" w:hAnsiTheme="majorBidi" w:cstheme="majorBidi"/>
          <w:bCs/>
        </w:rPr>
      </w:pPr>
      <w:r>
        <w:rPr>
          <w:rFonts w:asciiTheme="majorBidi" w:hAnsiTheme="majorBidi" w:cstheme="majorBidi"/>
          <w:bCs/>
        </w:rPr>
        <w:t xml:space="preserve">През текущия отчетен период ръководството на дружеството се е опитало да подобри  функционирането на системата за вътрешен контрол. </w:t>
      </w:r>
      <w:r w:rsidRPr="002647D7">
        <w:rPr>
          <w:rFonts w:asciiTheme="majorBidi" w:hAnsiTheme="majorBidi" w:cstheme="majorBidi"/>
          <w:bCs/>
        </w:rPr>
        <w:t>В дружеството е организирана аналитичност по видове материални запаси, както и по договори за обществени поръчки, която позволява ежемесечно да се следят количества и стойности по договорите.</w:t>
      </w:r>
      <w:r>
        <w:rPr>
          <w:rFonts w:asciiTheme="majorBidi" w:hAnsiTheme="majorBidi" w:cstheme="majorBidi"/>
          <w:bCs/>
        </w:rPr>
        <w:t xml:space="preserve"> Предварително са обследвани и планирани процедурите по Закона за обществени поръчки. Профила на купувача се актуализира в законоустановените срокове.</w:t>
      </w:r>
    </w:p>
    <w:p w:rsidR="00794C24" w:rsidRPr="00480226" w:rsidRDefault="002647D7" w:rsidP="002647D7">
      <w:pPr>
        <w:pStyle w:val="ListParagraph"/>
        <w:spacing w:before="120" w:after="120" w:line="288" w:lineRule="auto"/>
        <w:ind w:left="0" w:firstLine="720"/>
        <w:jc w:val="both"/>
        <w:rPr>
          <w:rFonts w:asciiTheme="majorBidi" w:hAnsiTheme="majorBidi" w:cstheme="majorBidi"/>
          <w:i/>
          <w:iCs/>
          <w:lang w:val="en-US"/>
        </w:rPr>
      </w:pPr>
      <w:r w:rsidRPr="002647D7">
        <w:rPr>
          <w:rFonts w:asciiTheme="majorBidi" w:hAnsiTheme="majorBidi" w:cstheme="majorBidi"/>
          <w:bCs/>
          <w:i/>
          <w:iCs/>
        </w:rPr>
        <w:t>15</w:t>
      </w:r>
      <w:r>
        <w:rPr>
          <w:rFonts w:asciiTheme="majorBidi" w:hAnsiTheme="majorBidi" w:cstheme="majorBidi"/>
          <w:bCs/>
        </w:rPr>
        <w:t>.</w:t>
      </w:r>
      <w:r w:rsidRPr="00EE0773">
        <w:rPr>
          <w:bCs/>
          <w:lang w:val="be-BY"/>
        </w:rPr>
        <w:t xml:space="preserve"> </w:t>
      </w:r>
      <w:r w:rsidR="00794C24" w:rsidRPr="00373AAD">
        <w:rPr>
          <w:rFonts w:asciiTheme="majorBidi" w:hAnsiTheme="majorBidi" w:cstheme="majorBidi"/>
          <w:bCs/>
          <w:i/>
          <w:iCs/>
        </w:rPr>
        <w:t>Информация за промените в управителните и надзорните органи през отчетната финансова година.</w:t>
      </w:r>
    </w:p>
    <w:p w:rsidR="00480226" w:rsidRPr="00480226" w:rsidRDefault="00480226" w:rsidP="00480226">
      <w:pPr>
        <w:ind w:firstLine="720"/>
        <w:contextualSpacing/>
        <w:jc w:val="both"/>
        <w:rPr>
          <w:rFonts w:asciiTheme="majorBidi" w:hAnsiTheme="majorBidi" w:cstheme="majorBidi"/>
          <w:bCs/>
        </w:rPr>
      </w:pPr>
      <w:r w:rsidRPr="00480226">
        <w:rPr>
          <w:rFonts w:asciiTheme="majorBidi" w:hAnsiTheme="majorBidi" w:cstheme="majorBidi"/>
          <w:bCs/>
        </w:rPr>
        <w:t>На 27.01.2016 г. на заседание на Общински съвет- Варна е взето решение за смяна управителя на СБАГАЛ „ Проф. д-р Д. Стаматов – Варна ” ЕООД на основание чл.21,ал.1, т. 8 от ЗМСМА и чл. 137, ал.1 т. 5, във връзка с чл.147, ал.2 от ТЗ е избран за временно изпълняващ управител Доц. Д-р Емил Ковачев, което обстоятелство е вписано на 05.02.2016 г. в Търговски регистър.</w:t>
      </w:r>
    </w:p>
    <w:p w:rsidR="00480226" w:rsidRPr="00480226" w:rsidRDefault="00480226" w:rsidP="00480226">
      <w:pPr>
        <w:ind w:firstLine="720"/>
        <w:contextualSpacing/>
        <w:jc w:val="both"/>
        <w:rPr>
          <w:rFonts w:asciiTheme="majorBidi" w:hAnsiTheme="majorBidi" w:cstheme="majorBidi"/>
          <w:bCs/>
        </w:rPr>
      </w:pPr>
      <w:r w:rsidRPr="00480226">
        <w:rPr>
          <w:rFonts w:asciiTheme="majorBidi" w:hAnsiTheme="majorBidi" w:cstheme="majorBidi"/>
          <w:bCs/>
        </w:rPr>
        <w:t xml:space="preserve">Действащият управител към </w:t>
      </w:r>
      <w:r>
        <w:rPr>
          <w:rFonts w:asciiTheme="majorBidi" w:hAnsiTheme="majorBidi" w:cstheme="majorBidi"/>
          <w:bCs/>
        </w:rPr>
        <w:t>31.12.2016</w:t>
      </w:r>
      <w:r w:rsidRPr="00480226">
        <w:rPr>
          <w:rFonts w:asciiTheme="majorBidi" w:hAnsiTheme="majorBidi" w:cstheme="majorBidi"/>
          <w:bCs/>
        </w:rPr>
        <w:t xml:space="preserve"> г. е  доц. д-р Емил Ковачев, назначен от  Кмета на Община Варна със заповед и договор за възлагане на управление след проведен конкурс по решение на Общински съвет – Варна, за срок от три години с изрично решение на Общинския съвет.</w:t>
      </w:r>
    </w:p>
    <w:p w:rsidR="00794C24" w:rsidRPr="00480226" w:rsidRDefault="00794C24" w:rsidP="00794C24">
      <w:pPr>
        <w:pStyle w:val="ListParagraph"/>
        <w:numPr>
          <w:ilvl w:val="0"/>
          <w:numId w:val="4"/>
        </w:numPr>
        <w:spacing w:before="120" w:after="120" w:line="288" w:lineRule="auto"/>
        <w:ind w:left="0" w:firstLine="720"/>
        <w:jc w:val="both"/>
        <w:rPr>
          <w:rFonts w:asciiTheme="majorBidi" w:hAnsiTheme="majorBidi" w:cstheme="majorBidi"/>
          <w:i/>
          <w:iCs/>
          <w:lang w:val="en-US"/>
        </w:rPr>
      </w:pPr>
      <w:r w:rsidRPr="00480226">
        <w:rPr>
          <w:rFonts w:asciiTheme="majorBidi" w:hAnsiTheme="majorBidi" w:cstheme="majorBidi"/>
          <w:bCs/>
          <w:i/>
          <w:iCs/>
        </w:rPr>
        <w:t>Информация за размера на възнагражденията, наградите и/или ползите на всеки от членовете на управителните и на контролните органи за отчетната финансова година изплатени от емитента, съответно лицето по § 1д от допълнителните разпоредби на ЗППЦК, и негови дъщерни дружества, независимо от това, дали са били включени в разходите на емитента, съответно лицето по  § 1д от допълнителните разпоредби на ЗППЦК, или произтичат от  разпределение на печалбата, включително: получени суми и непарични възнаграждения; условни или разсрочени възнаграждения, възникнали през годината, дори и ако възнаграждението се дължи към по-късен момент; сума, дължима от емитента, съответно лицето по  § 1д от допълнителните разпоредби на ЗППЦК, или негови дъщерни дружества за изплащане на пенсии, обезщетения при пенсиониране или други подобни обезщетения.</w:t>
      </w:r>
    </w:p>
    <w:p w:rsidR="00480226" w:rsidRPr="00480226" w:rsidRDefault="00480226" w:rsidP="00480226">
      <w:pPr>
        <w:spacing w:before="120" w:after="120" w:line="288" w:lineRule="auto"/>
        <w:ind w:firstLine="567"/>
        <w:jc w:val="both"/>
        <w:rPr>
          <w:rFonts w:asciiTheme="majorBidi" w:hAnsiTheme="majorBidi" w:cstheme="majorBidi"/>
        </w:rPr>
      </w:pPr>
      <w:r>
        <w:rPr>
          <w:rFonts w:asciiTheme="majorBidi" w:hAnsiTheme="majorBidi" w:cstheme="majorBidi"/>
        </w:rPr>
        <w:t xml:space="preserve">Възнагражденията на управителите се определят от Едноличния собственик на капитала. С договор за управление и контрол  се  определя основното възнаграждение на управителя, на база средната отчетна месечна брутна работна заплата в дружеството. Предвижда се и допълнително стимулиране за добри финансови резултати по схема утвърдена от Общински съвет. </w:t>
      </w:r>
      <w:r w:rsidR="002647D7">
        <w:rPr>
          <w:rFonts w:asciiTheme="majorBidi" w:hAnsiTheme="majorBidi" w:cstheme="majorBidi"/>
        </w:rPr>
        <w:t xml:space="preserve">Изплатени са възнаграждения </w:t>
      </w:r>
      <w:r w:rsidRPr="001C7F69">
        <w:rPr>
          <w:rFonts w:asciiTheme="majorBidi" w:hAnsiTheme="majorBidi" w:cstheme="majorBidi"/>
        </w:rPr>
        <w:t>на управителите</w:t>
      </w:r>
      <w:r w:rsidR="002647D7">
        <w:rPr>
          <w:rFonts w:asciiTheme="majorBidi" w:hAnsiTheme="majorBidi" w:cstheme="majorBidi"/>
        </w:rPr>
        <w:t xml:space="preserve"> и контрольор</w:t>
      </w:r>
      <w:r w:rsidRPr="001C7F69">
        <w:rPr>
          <w:rFonts w:asciiTheme="majorBidi" w:hAnsiTheme="majorBidi" w:cstheme="majorBidi"/>
        </w:rPr>
        <w:t xml:space="preserve"> в размер на </w:t>
      </w:r>
      <w:r w:rsidR="001C7F69" w:rsidRPr="001C7F69">
        <w:rPr>
          <w:rFonts w:asciiTheme="majorBidi" w:hAnsiTheme="majorBidi" w:cstheme="majorBidi"/>
        </w:rPr>
        <w:t>56 хил.лв.</w:t>
      </w:r>
      <w:r w:rsidRPr="00E335D6">
        <w:rPr>
          <w:rFonts w:asciiTheme="majorBidi" w:hAnsiTheme="majorBidi" w:cstheme="majorBidi"/>
          <w:color w:val="FF0000"/>
        </w:rPr>
        <w:t xml:space="preserve"> </w:t>
      </w:r>
      <w:r>
        <w:rPr>
          <w:rFonts w:asciiTheme="majorBidi" w:hAnsiTheme="majorBidi" w:cstheme="majorBidi"/>
        </w:rPr>
        <w:t>Всички възнаграждения са включени в разходите на дружеството.</w:t>
      </w:r>
    </w:p>
    <w:p w:rsidR="00794C24" w:rsidRDefault="00794C24" w:rsidP="00480226">
      <w:pPr>
        <w:pStyle w:val="ListParagraph"/>
        <w:numPr>
          <w:ilvl w:val="0"/>
          <w:numId w:val="4"/>
        </w:numPr>
        <w:ind w:left="0" w:firstLine="567"/>
        <w:jc w:val="both"/>
        <w:rPr>
          <w:rFonts w:asciiTheme="majorBidi" w:hAnsiTheme="majorBidi" w:cstheme="majorBidi"/>
          <w:bCs/>
          <w:i/>
          <w:iCs/>
        </w:rPr>
      </w:pPr>
      <w:r w:rsidRPr="00480226">
        <w:rPr>
          <w:rFonts w:asciiTheme="majorBidi" w:hAnsiTheme="majorBidi" w:cstheme="majorBidi"/>
          <w:bCs/>
          <w:i/>
          <w:iCs/>
        </w:rPr>
        <w:t>За публичните дружества - информация за притежавани от членовете на управителните и на контролните органи, прокуристите и висшия ръководен състав акции на емитента, включително акциите, притежавани от всеки от тях поотделно и като процент от акциите от всеки клас, както и предоставени им от емитента опции върху негови ценни книжа - вид и размер на ценните книжа, върху които са учредени опциите, цена на упражняване на опциите, покупна цена, ако има такава, и срок на опциите.</w:t>
      </w:r>
    </w:p>
    <w:p w:rsidR="00480226" w:rsidRPr="00480226" w:rsidRDefault="00480226" w:rsidP="00480226">
      <w:pPr>
        <w:ind w:firstLine="567"/>
        <w:jc w:val="both"/>
        <w:rPr>
          <w:rFonts w:asciiTheme="majorBidi" w:hAnsiTheme="majorBidi" w:cstheme="majorBidi"/>
          <w:bCs/>
        </w:rPr>
      </w:pPr>
      <w:r w:rsidRPr="00480226">
        <w:rPr>
          <w:rFonts w:asciiTheme="majorBidi" w:hAnsiTheme="majorBidi" w:cstheme="majorBidi"/>
          <w:bCs/>
        </w:rPr>
        <w:t>Дружеството не е публично.</w:t>
      </w:r>
    </w:p>
    <w:p w:rsidR="00794C24" w:rsidRDefault="00794C24" w:rsidP="00794C24">
      <w:pPr>
        <w:pStyle w:val="ListParagraph"/>
        <w:numPr>
          <w:ilvl w:val="0"/>
          <w:numId w:val="4"/>
        </w:numPr>
        <w:ind w:left="0" w:firstLine="567"/>
        <w:rPr>
          <w:rFonts w:asciiTheme="majorBidi" w:hAnsiTheme="majorBidi" w:cstheme="majorBidi"/>
          <w:bCs/>
          <w:i/>
          <w:iCs/>
        </w:rPr>
      </w:pPr>
      <w:r w:rsidRPr="00480226">
        <w:rPr>
          <w:rFonts w:asciiTheme="majorBidi" w:hAnsiTheme="majorBidi" w:cstheme="majorBidi"/>
          <w:bCs/>
          <w:i/>
          <w:iCs/>
        </w:rPr>
        <w:t>Информация за известните на дружеството договорености (включително и след приключване на финансовата година), в резултат на които в бъдещ период могат да настъпят промени в притежавания относителен дял акции или облигации от настоящи акционери или облигационери.</w:t>
      </w:r>
    </w:p>
    <w:p w:rsidR="00480226" w:rsidRPr="009C1F2D" w:rsidRDefault="009C1F2D" w:rsidP="009C1F2D">
      <w:pPr>
        <w:pStyle w:val="ListParagraph"/>
        <w:ind w:left="0" w:firstLine="567"/>
        <w:jc w:val="both"/>
        <w:rPr>
          <w:rFonts w:asciiTheme="majorBidi" w:hAnsiTheme="majorBidi" w:cstheme="majorBidi"/>
          <w:bCs/>
        </w:rPr>
      </w:pPr>
      <w:r w:rsidRPr="009C1F2D">
        <w:rPr>
          <w:color w:val="000000"/>
        </w:rPr>
        <w:t>На ръководството на дружеството не са известни договорености, включително и след приключване на финансовата година, в резултат, на които в бъдещ период могат да настъпят промени в притежавания относителен дял  дялове от настоящия собственик на капитала.</w:t>
      </w:r>
    </w:p>
    <w:p w:rsidR="00794C24" w:rsidRDefault="00794C24" w:rsidP="009C1F2D">
      <w:pPr>
        <w:pStyle w:val="ListParagraph"/>
        <w:numPr>
          <w:ilvl w:val="0"/>
          <w:numId w:val="4"/>
        </w:numPr>
        <w:ind w:left="0" w:firstLine="567"/>
        <w:jc w:val="both"/>
        <w:rPr>
          <w:rFonts w:asciiTheme="majorBidi" w:hAnsiTheme="majorBidi" w:cstheme="majorBidi"/>
          <w:bCs/>
          <w:i/>
          <w:iCs/>
        </w:rPr>
      </w:pPr>
      <w:r w:rsidRPr="009C1F2D">
        <w:rPr>
          <w:rFonts w:asciiTheme="majorBidi" w:hAnsiTheme="majorBidi" w:cstheme="majorBidi"/>
          <w:bCs/>
          <w:i/>
          <w:iCs/>
        </w:rPr>
        <w:t>Информация за висящи съдебни, административни или арбитражни производства, касаещи задължения или вземания на емитента, съответно лицето по  § 1д от допълнителните разпоредби на ЗППЦК, в размер най-малко 10 на сто от собствения му капитал; ако общата стойност на задълженията или вземанията на емитента, съответно лицето по § 1д от допълнителните разпоредби на ЗППЦК, по всички образувани производства надхвърля 10 на сто от собствения му капитал, се представя информация за всяко производство поотделно.</w:t>
      </w:r>
    </w:p>
    <w:p w:rsidR="009C1F2D" w:rsidRPr="009C1F2D" w:rsidRDefault="0071675D" w:rsidP="002647D7">
      <w:pPr>
        <w:pStyle w:val="ListParagraph"/>
        <w:ind w:left="0" w:firstLine="567"/>
        <w:jc w:val="both"/>
        <w:rPr>
          <w:rFonts w:asciiTheme="majorBidi" w:hAnsiTheme="majorBidi" w:cstheme="majorBidi"/>
          <w:bCs/>
        </w:rPr>
      </w:pPr>
      <w:r>
        <w:rPr>
          <w:rFonts w:asciiTheme="majorBidi" w:hAnsiTheme="majorBidi" w:cstheme="majorBidi"/>
          <w:bCs/>
        </w:rPr>
        <w:t xml:space="preserve">Информация за </w:t>
      </w:r>
      <w:r w:rsidR="009C1F2D">
        <w:rPr>
          <w:rFonts w:asciiTheme="majorBidi" w:hAnsiTheme="majorBidi" w:cstheme="majorBidi"/>
          <w:bCs/>
        </w:rPr>
        <w:t>висящи съдебни, административни или арбитражни производства, касаещи задължения</w:t>
      </w:r>
      <w:r>
        <w:rPr>
          <w:rFonts w:asciiTheme="majorBidi" w:hAnsiTheme="majorBidi" w:cstheme="majorBidi"/>
          <w:bCs/>
        </w:rPr>
        <w:t xml:space="preserve"> или вземания на дружеството, е представена в приложението към годишния финансов </w:t>
      </w:r>
      <w:r w:rsidRPr="002647D7">
        <w:rPr>
          <w:rFonts w:asciiTheme="majorBidi" w:hAnsiTheme="majorBidi" w:cstheme="majorBidi"/>
          <w:bCs/>
        </w:rPr>
        <w:t>отчет т.</w:t>
      </w:r>
      <w:r w:rsidR="002647D7" w:rsidRPr="002647D7">
        <w:rPr>
          <w:rFonts w:asciiTheme="majorBidi" w:hAnsiTheme="majorBidi" w:cstheme="majorBidi"/>
          <w:bCs/>
        </w:rPr>
        <w:t xml:space="preserve"> 11.2.</w:t>
      </w:r>
    </w:p>
    <w:p w:rsidR="00794C24" w:rsidRPr="0071675D" w:rsidRDefault="00794C24" w:rsidP="00794C24">
      <w:pPr>
        <w:pStyle w:val="ListParagraph"/>
        <w:numPr>
          <w:ilvl w:val="0"/>
          <w:numId w:val="4"/>
        </w:numPr>
        <w:ind w:left="0" w:firstLine="567"/>
        <w:rPr>
          <w:rFonts w:asciiTheme="majorBidi" w:hAnsiTheme="majorBidi" w:cstheme="majorBidi"/>
          <w:bCs/>
          <w:i/>
          <w:iCs/>
        </w:rPr>
      </w:pPr>
      <w:r w:rsidRPr="0071675D">
        <w:rPr>
          <w:rFonts w:asciiTheme="majorBidi" w:hAnsiTheme="majorBidi" w:cstheme="majorBidi"/>
          <w:bCs/>
          <w:i/>
          <w:iCs/>
        </w:rPr>
        <w:t>За публичните дружества – данни за директора за връзки с инвеститора, включително телефон и адрес за кореспонденция.</w:t>
      </w:r>
    </w:p>
    <w:p w:rsidR="0071675D" w:rsidRPr="00794C24" w:rsidRDefault="0071675D" w:rsidP="0071675D">
      <w:pPr>
        <w:pStyle w:val="ListParagraph"/>
        <w:ind w:left="567"/>
        <w:rPr>
          <w:rFonts w:asciiTheme="majorBidi" w:hAnsiTheme="majorBidi" w:cstheme="majorBidi"/>
          <w:bCs/>
        </w:rPr>
      </w:pPr>
      <w:r>
        <w:rPr>
          <w:rFonts w:asciiTheme="majorBidi" w:hAnsiTheme="majorBidi" w:cstheme="majorBidi"/>
          <w:bCs/>
        </w:rPr>
        <w:t>Дружеството не е публично.</w:t>
      </w:r>
    </w:p>
    <w:p w:rsidR="00794C24" w:rsidRPr="00794C24" w:rsidRDefault="00794C24" w:rsidP="00794C24">
      <w:pPr>
        <w:rPr>
          <w:rFonts w:asciiTheme="majorBidi" w:hAnsiTheme="majorBidi" w:cstheme="majorBidi"/>
          <w:bCs/>
        </w:rPr>
      </w:pPr>
    </w:p>
    <w:p w:rsidR="00B23C23" w:rsidRPr="00C62311" w:rsidRDefault="00B23C23" w:rsidP="002647D7">
      <w:pPr>
        <w:spacing w:before="120" w:after="120" w:line="288" w:lineRule="auto"/>
        <w:jc w:val="both"/>
        <w:rPr>
          <w:b/>
        </w:rPr>
      </w:pPr>
      <w:r w:rsidRPr="00C62311">
        <w:rPr>
          <w:b/>
        </w:rPr>
        <w:t xml:space="preserve">Дата </w:t>
      </w:r>
      <w:r w:rsidR="0071675D">
        <w:rPr>
          <w:b/>
        </w:rPr>
        <w:t>2</w:t>
      </w:r>
      <w:r w:rsidR="002647D7">
        <w:rPr>
          <w:b/>
        </w:rPr>
        <w:t>4</w:t>
      </w:r>
      <w:r w:rsidR="0071675D">
        <w:rPr>
          <w:b/>
        </w:rPr>
        <w:t>.03.2017</w:t>
      </w:r>
      <w:r w:rsidRPr="00C62311">
        <w:rPr>
          <w:b/>
        </w:rPr>
        <w:t xml:space="preserve"> г.</w:t>
      </w:r>
      <w:r w:rsidRPr="00C62311">
        <w:rPr>
          <w:b/>
        </w:rPr>
        <w:tab/>
      </w:r>
      <w:r w:rsidRPr="00C62311">
        <w:rPr>
          <w:b/>
        </w:rPr>
        <w:tab/>
      </w:r>
      <w:r w:rsidRPr="00C62311">
        <w:rPr>
          <w:b/>
        </w:rPr>
        <w:tab/>
      </w:r>
      <w:r w:rsidRPr="00C62311">
        <w:rPr>
          <w:b/>
        </w:rPr>
        <w:tab/>
        <w:t>УПРАВИТЕЛ :</w:t>
      </w:r>
    </w:p>
    <w:p w:rsidR="006D04A6" w:rsidRPr="00C62311" w:rsidRDefault="00143814" w:rsidP="00B23C23">
      <w:r w:rsidRPr="00C62311">
        <w:rPr>
          <w:b/>
        </w:rPr>
        <w:t>г</w:t>
      </w:r>
      <w:r w:rsidR="00B23C23" w:rsidRPr="00C62311">
        <w:rPr>
          <w:b/>
        </w:rPr>
        <w:t>р.</w:t>
      </w:r>
      <w:r w:rsidR="00B23C23" w:rsidRPr="00C62311">
        <w:rPr>
          <w:b/>
          <w:lang w:val="en-US"/>
        </w:rPr>
        <w:t xml:space="preserve"> </w:t>
      </w:r>
      <w:r w:rsidR="00B23C23" w:rsidRPr="00C62311">
        <w:rPr>
          <w:b/>
        </w:rPr>
        <w:t>Варна</w:t>
      </w:r>
      <w:r w:rsidR="00B23C23" w:rsidRPr="00C62311">
        <w:rPr>
          <w:b/>
        </w:rPr>
        <w:tab/>
      </w:r>
      <w:r w:rsidR="00B23C23" w:rsidRPr="00C62311">
        <w:rPr>
          <w:b/>
        </w:rPr>
        <w:tab/>
      </w:r>
      <w:r w:rsidR="00B23C23" w:rsidRPr="00C62311">
        <w:rPr>
          <w:b/>
        </w:rPr>
        <w:tab/>
      </w:r>
      <w:r w:rsidR="00B23C23" w:rsidRPr="00C62311">
        <w:rPr>
          <w:b/>
        </w:rPr>
        <w:tab/>
      </w:r>
      <w:r w:rsidR="00B23C23" w:rsidRPr="00C62311">
        <w:rPr>
          <w:b/>
        </w:rPr>
        <w:tab/>
      </w:r>
      <w:r w:rsidR="00B23C23" w:rsidRPr="00C62311">
        <w:rPr>
          <w:b/>
        </w:rPr>
        <w:tab/>
      </w:r>
      <w:r w:rsidR="00B23C23" w:rsidRPr="00C62311">
        <w:rPr>
          <w:b/>
        </w:rPr>
        <w:tab/>
        <w:t>/Доц. Д-р Емил Ковачев/</w:t>
      </w:r>
    </w:p>
    <w:sectPr w:rsidR="006D04A6" w:rsidRPr="00C62311" w:rsidSect="0051614F">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Segoe UI"/>
    <w:charset w:val="CC"/>
    <w:family w:val="swiss"/>
    <w:pitch w:val="variable"/>
    <w:sig w:usb0="00000001" w:usb1="4000207B"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57B"/>
    <w:multiLevelType w:val="hybridMultilevel"/>
    <w:tmpl w:val="815C2E76"/>
    <w:lvl w:ilvl="0" w:tplc="B9A2FE26">
      <w:start w:val="1"/>
      <w:numFmt w:val="decimal"/>
      <w:lvlText w:val="%1."/>
      <w:lvlJc w:val="left"/>
      <w:pPr>
        <w:ind w:left="1080" w:hanging="360"/>
      </w:pPr>
      <w:rPr>
        <w:rFonts w:asciiTheme="majorHAnsi" w:hAnsiTheme="majorHAnsi" w:cstheme="minorHAnsi"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15063C3A"/>
    <w:multiLevelType w:val="hybridMultilevel"/>
    <w:tmpl w:val="90626B8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185F37DE"/>
    <w:multiLevelType w:val="hybridMultilevel"/>
    <w:tmpl w:val="3BEEA600"/>
    <w:lvl w:ilvl="0" w:tplc="BC4C682E">
      <w:start w:val="1"/>
      <w:numFmt w:val="upperRoman"/>
      <w:lvlText w:val="%1."/>
      <w:lvlJc w:val="left"/>
      <w:pPr>
        <w:ind w:left="1440" w:hanging="72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38A97D90"/>
    <w:multiLevelType w:val="hybridMultilevel"/>
    <w:tmpl w:val="815C2E76"/>
    <w:lvl w:ilvl="0" w:tplc="B9A2FE26">
      <w:start w:val="1"/>
      <w:numFmt w:val="decimal"/>
      <w:lvlText w:val="%1."/>
      <w:lvlJc w:val="left"/>
      <w:pPr>
        <w:ind w:left="1080" w:hanging="360"/>
      </w:pPr>
      <w:rPr>
        <w:rFonts w:asciiTheme="majorHAnsi" w:hAnsiTheme="majorHAnsi" w:cstheme="minorHAnsi"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570516EC"/>
    <w:multiLevelType w:val="hybridMultilevel"/>
    <w:tmpl w:val="1A78D222"/>
    <w:lvl w:ilvl="0" w:tplc="04020001">
      <w:start w:val="1"/>
      <w:numFmt w:val="bullet"/>
      <w:lvlText w:val=""/>
      <w:lvlJc w:val="left"/>
      <w:pPr>
        <w:tabs>
          <w:tab w:val="num" w:pos="1429"/>
        </w:tabs>
        <w:ind w:left="1429" w:hanging="360"/>
      </w:pPr>
      <w:rPr>
        <w:rFonts w:ascii="Symbol" w:hAnsi="Symbol" w:hint="default"/>
      </w:rPr>
    </w:lvl>
    <w:lvl w:ilvl="1" w:tplc="04020019" w:tentative="1">
      <w:start w:val="1"/>
      <w:numFmt w:val="lowerLetter"/>
      <w:lvlText w:val="%2."/>
      <w:lvlJc w:val="left"/>
      <w:pPr>
        <w:tabs>
          <w:tab w:val="num" w:pos="2149"/>
        </w:tabs>
        <w:ind w:left="2149" w:hanging="360"/>
      </w:pPr>
    </w:lvl>
    <w:lvl w:ilvl="2" w:tplc="0402001B" w:tentative="1">
      <w:start w:val="1"/>
      <w:numFmt w:val="lowerRoman"/>
      <w:lvlText w:val="%3."/>
      <w:lvlJc w:val="right"/>
      <w:pPr>
        <w:tabs>
          <w:tab w:val="num" w:pos="2869"/>
        </w:tabs>
        <w:ind w:left="2869" w:hanging="180"/>
      </w:pPr>
    </w:lvl>
    <w:lvl w:ilvl="3" w:tplc="0402000F" w:tentative="1">
      <w:start w:val="1"/>
      <w:numFmt w:val="decimal"/>
      <w:lvlText w:val="%4."/>
      <w:lvlJc w:val="left"/>
      <w:pPr>
        <w:tabs>
          <w:tab w:val="num" w:pos="3589"/>
        </w:tabs>
        <w:ind w:left="3589" w:hanging="360"/>
      </w:pPr>
    </w:lvl>
    <w:lvl w:ilvl="4" w:tplc="04020019" w:tentative="1">
      <w:start w:val="1"/>
      <w:numFmt w:val="lowerLetter"/>
      <w:lvlText w:val="%5."/>
      <w:lvlJc w:val="left"/>
      <w:pPr>
        <w:tabs>
          <w:tab w:val="num" w:pos="4309"/>
        </w:tabs>
        <w:ind w:left="4309" w:hanging="360"/>
      </w:pPr>
    </w:lvl>
    <w:lvl w:ilvl="5" w:tplc="0402001B" w:tentative="1">
      <w:start w:val="1"/>
      <w:numFmt w:val="lowerRoman"/>
      <w:lvlText w:val="%6."/>
      <w:lvlJc w:val="right"/>
      <w:pPr>
        <w:tabs>
          <w:tab w:val="num" w:pos="5029"/>
        </w:tabs>
        <w:ind w:left="5029" w:hanging="180"/>
      </w:pPr>
    </w:lvl>
    <w:lvl w:ilvl="6" w:tplc="0402000F" w:tentative="1">
      <w:start w:val="1"/>
      <w:numFmt w:val="decimal"/>
      <w:lvlText w:val="%7."/>
      <w:lvlJc w:val="left"/>
      <w:pPr>
        <w:tabs>
          <w:tab w:val="num" w:pos="5749"/>
        </w:tabs>
        <w:ind w:left="5749" w:hanging="360"/>
      </w:pPr>
    </w:lvl>
    <w:lvl w:ilvl="7" w:tplc="04020019" w:tentative="1">
      <w:start w:val="1"/>
      <w:numFmt w:val="lowerLetter"/>
      <w:lvlText w:val="%8."/>
      <w:lvlJc w:val="left"/>
      <w:pPr>
        <w:tabs>
          <w:tab w:val="num" w:pos="6469"/>
        </w:tabs>
        <w:ind w:left="6469" w:hanging="360"/>
      </w:pPr>
    </w:lvl>
    <w:lvl w:ilvl="8" w:tplc="0402001B" w:tentative="1">
      <w:start w:val="1"/>
      <w:numFmt w:val="lowerRoman"/>
      <w:lvlText w:val="%9."/>
      <w:lvlJc w:val="right"/>
      <w:pPr>
        <w:tabs>
          <w:tab w:val="num" w:pos="7189"/>
        </w:tabs>
        <w:ind w:left="7189" w:hanging="180"/>
      </w:pPr>
    </w:lvl>
  </w:abstractNum>
  <w:abstractNum w:abstractNumId="5">
    <w:nsid w:val="587C58C4"/>
    <w:multiLevelType w:val="hybridMultilevel"/>
    <w:tmpl w:val="53C41836"/>
    <w:lvl w:ilvl="0" w:tplc="121ACECC">
      <w:start w:val="1"/>
      <w:numFmt w:val="bullet"/>
      <w:lvlText w:val=""/>
      <w:lvlJc w:val="left"/>
      <w:pPr>
        <w:tabs>
          <w:tab w:val="num" w:pos="5333"/>
        </w:tabs>
        <w:ind w:left="5333" w:hanging="360"/>
      </w:pPr>
      <w:rPr>
        <w:rFonts w:ascii="Symbol" w:hAnsi="Symbol" w:hint="default"/>
        <w:color w:val="3366FF"/>
        <w:sz w:val="18"/>
      </w:rPr>
    </w:lvl>
    <w:lvl w:ilvl="1" w:tplc="03704BE8">
      <w:start w:val="1"/>
      <w:numFmt w:val="bullet"/>
      <w:lvlText w:val=""/>
      <w:lvlJc w:val="left"/>
      <w:pPr>
        <w:tabs>
          <w:tab w:val="num" w:pos="1440"/>
        </w:tabs>
        <w:ind w:left="1080" w:firstLine="0"/>
      </w:pPr>
      <w:rPr>
        <w:rFonts w:ascii="Wingdings" w:hAnsi="Wingdings" w:cs="Times New Roman" w:hint="default"/>
        <w:color w:val="FF0000"/>
        <w:sz w:val="16"/>
      </w:rPr>
    </w:lvl>
    <w:lvl w:ilvl="2" w:tplc="59EAFECA" w:tentative="1">
      <w:start w:val="1"/>
      <w:numFmt w:val="bullet"/>
      <w:lvlText w:val=""/>
      <w:lvlJc w:val="left"/>
      <w:pPr>
        <w:tabs>
          <w:tab w:val="num" w:pos="2160"/>
        </w:tabs>
        <w:ind w:left="2160" w:hanging="360"/>
      </w:pPr>
      <w:rPr>
        <w:rFonts w:ascii="Wingdings" w:hAnsi="Wingdings" w:hint="default"/>
      </w:rPr>
    </w:lvl>
    <w:lvl w:ilvl="3" w:tplc="562EA34C" w:tentative="1">
      <w:start w:val="1"/>
      <w:numFmt w:val="bullet"/>
      <w:lvlText w:val=""/>
      <w:lvlJc w:val="left"/>
      <w:pPr>
        <w:tabs>
          <w:tab w:val="num" w:pos="2880"/>
        </w:tabs>
        <w:ind w:left="2880" w:hanging="360"/>
      </w:pPr>
      <w:rPr>
        <w:rFonts w:ascii="Symbol" w:hAnsi="Symbol" w:hint="default"/>
      </w:rPr>
    </w:lvl>
    <w:lvl w:ilvl="4" w:tplc="3F702D2C" w:tentative="1">
      <w:start w:val="1"/>
      <w:numFmt w:val="bullet"/>
      <w:lvlText w:val="o"/>
      <w:lvlJc w:val="left"/>
      <w:pPr>
        <w:tabs>
          <w:tab w:val="num" w:pos="3600"/>
        </w:tabs>
        <w:ind w:left="3600" w:hanging="360"/>
      </w:pPr>
      <w:rPr>
        <w:rFonts w:ascii="Courier New" w:hAnsi="Courier New" w:hint="default"/>
      </w:rPr>
    </w:lvl>
    <w:lvl w:ilvl="5" w:tplc="4E3E1814" w:tentative="1">
      <w:start w:val="1"/>
      <w:numFmt w:val="bullet"/>
      <w:lvlText w:val=""/>
      <w:lvlJc w:val="left"/>
      <w:pPr>
        <w:tabs>
          <w:tab w:val="num" w:pos="4320"/>
        </w:tabs>
        <w:ind w:left="4320" w:hanging="360"/>
      </w:pPr>
      <w:rPr>
        <w:rFonts w:ascii="Wingdings" w:hAnsi="Wingdings" w:hint="default"/>
      </w:rPr>
    </w:lvl>
    <w:lvl w:ilvl="6" w:tplc="0672AC22" w:tentative="1">
      <w:start w:val="1"/>
      <w:numFmt w:val="bullet"/>
      <w:lvlText w:val=""/>
      <w:lvlJc w:val="left"/>
      <w:pPr>
        <w:tabs>
          <w:tab w:val="num" w:pos="5040"/>
        </w:tabs>
        <w:ind w:left="5040" w:hanging="360"/>
      </w:pPr>
      <w:rPr>
        <w:rFonts w:ascii="Symbol" w:hAnsi="Symbol" w:hint="default"/>
      </w:rPr>
    </w:lvl>
    <w:lvl w:ilvl="7" w:tplc="495A73FA" w:tentative="1">
      <w:start w:val="1"/>
      <w:numFmt w:val="bullet"/>
      <w:lvlText w:val="o"/>
      <w:lvlJc w:val="left"/>
      <w:pPr>
        <w:tabs>
          <w:tab w:val="num" w:pos="5760"/>
        </w:tabs>
        <w:ind w:left="5760" w:hanging="360"/>
      </w:pPr>
      <w:rPr>
        <w:rFonts w:ascii="Courier New" w:hAnsi="Courier New" w:hint="default"/>
      </w:rPr>
    </w:lvl>
    <w:lvl w:ilvl="8" w:tplc="DDF0C3D8" w:tentative="1">
      <w:start w:val="1"/>
      <w:numFmt w:val="bullet"/>
      <w:lvlText w:val=""/>
      <w:lvlJc w:val="left"/>
      <w:pPr>
        <w:tabs>
          <w:tab w:val="num" w:pos="6480"/>
        </w:tabs>
        <w:ind w:left="6480" w:hanging="360"/>
      </w:pPr>
      <w:rPr>
        <w:rFonts w:ascii="Wingdings" w:hAnsi="Wingdings" w:hint="default"/>
      </w:rPr>
    </w:lvl>
  </w:abstractNum>
  <w:abstractNum w:abstractNumId="6">
    <w:nsid w:val="6A3422BA"/>
    <w:multiLevelType w:val="hybridMultilevel"/>
    <w:tmpl w:val="815C2E76"/>
    <w:lvl w:ilvl="0" w:tplc="B9A2FE26">
      <w:start w:val="1"/>
      <w:numFmt w:val="decimal"/>
      <w:lvlText w:val="%1."/>
      <w:lvlJc w:val="left"/>
      <w:pPr>
        <w:ind w:left="1080" w:hanging="360"/>
      </w:pPr>
      <w:rPr>
        <w:rFonts w:asciiTheme="majorHAnsi" w:hAnsiTheme="majorHAnsi" w:cstheme="minorHAnsi"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6EE514E8"/>
    <w:multiLevelType w:val="hybridMultilevel"/>
    <w:tmpl w:val="65027BE2"/>
    <w:lvl w:ilvl="0" w:tplc="C5D03220">
      <w:start w:val="2"/>
      <w:numFmt w:val="bullet"/>
      <w:lvlText w:val="-"/>
      <w:lvlJc w:val="left"/>
      <w:pPr>
        <w:ind w:left="987" w:hanging="360"/>
      </w:pPr>
      <w:rPr>
        <w:rFonts w:ascii="Times New Roman" w:eastAsia="Times New Roman" w:hAnsi="Times New Roman" w:cs="Times New Roman" w:hint="default"/>
      </w:rPr>
    </w:lvl>
    <w:lvl w:ilvl="1" w:tplc="04020003" w:tentative="1">
      <w:start w:val="1"/>
      <w:numFmt w:val="bullet"/>
      <w:lvlText w:val="o"/>
      <w:lvlJc w:val="left"/>
      <w:pPr>
        <w:ind w:left="1707" w:hanging="360"/>
      </w:pPr>
      <w:rPr>
        <w:rFonts w:ascii="Courier New" w:hAnsi="Courier New" w:cs="Courier New" w:hint="default"/>
      </w:rPr>
    </w:lvl>
    <w:lvl w:ilvl="2" w:tplc="04020005" w:tentative="1">
      <w:start w:val="1"/>
      <w:numFmt w:val="bullet"/>
      <w:lvlText w:val=""/>
      <w:lvlJc w:val="left"/>
      <w:pPr>
        <w:ind w:left="2427" w:hanging="360"/>
      </w:pPr>
      <w:rPr>
        <w:rFonts w:ascii="Wingdings" w:hAnsi="Wingdings" w:hint="default"/>
      </w:rPr>
    </w:lvl>
    <w:lvl w:ilvl="3" w:tplc="04020001" w:tentative="1">
      <w:start w:val="1"/>
      <w:numFmt w:val="bullet"/>
      <w:lvlText w:val=""/>
      <w:lvlJc w:val="left"/>
      <w:pPr>
        <w:ind w:left="3147" w:hanging="360"/>
      </w:pPr>
      <w:rPr>
        <w:rFonts w:ascii="Symbol" w:hAnsi="Symbol" w:hint="default"/>
      </w:rPr>
    </w:lvl>
    <w:lvl w:ilvl="4" w:tplc="04020003" w:tentative="1">
      <w:start w:val="1"/>
      <w:numFmt w:val="bullet"/>
      <w:lvlText w:val="o"/>
      <w:lvlJc w:val="left"/>
      <w:pPr>
        <w:ind w:left="3867" w:hanging="360"/>
      </w:pPr>
      <w:rPr>
        <w:rFonts w:ascii="Courier New" w:hAnsi="Courier New" w:cs="Courier New" w:hint="default"/>
      </w:rPr>
    </w:lvl>
    <w:lvl w:ilvl="5" w:tplc="04020005" w:tentative="1">
      <w:start w:val="1"/>
      <w:numFmt w:val="bullet"/>
      <w:lvlText w:val=""/>
      <w:lvlJc w:val="left"/>
      <w:pPr>
        <w:ind w:left="4587" w:hanging="360"/>
      </w:pPr>
      <w:rPr>
        <w:rFonts w:ascii="Wingdings" w:hAnsi="Wingdings" w:hint="default"/>
      </w:rPr>
    </w:lvl>
    <w:lvl w:ilvl="6" w:tplc="04020001" w:tentative="1">
      <w:start w:val="1"/>
      <w:numFmt w:val="bullet"/>
      <w:lvlText w:val=""/>
      <w:lvlJc w:val="left"/>
      <w:pPr>
        <w:ind w:left="5307" w:hanging="360"/>
      </w:pPr>
      <w:rPr>
        <w:rFonts w:ascii="Symbol" w:hAnsi="Symbol" w:hint="default"/>
      </w:rPr>
    </w:lvl>
    <w:lvl w:ilvl="7" w:tplc="04020003" w:tentative="1">
      <w:start w:val="1"/>
      <w:numFmt w:val="bullet"/>
      <w:lvlText w:val="o"/>
      <w:lvlJc w:val="left"/>
      <w:pPr>
        <w:ind w:left="6027" w:hanging="360"/>
      </w:pPr>
      <w:rPr>
        <w:rFonts w:ascii="Courier New" w:hAnsi="Courier New" w:cs="Courier New" w:hint="default"/>
      </w:rPr>
    </w:lvl>
    <w:lvl w:ilvl="8" w:tplc="04020005" w:tentative="1">
      <w:start w:val="1"/>
      <w:numFmt w:val="bullet"/>
      <w:lvlText w:val=""/>
      <w:lvlJc w:val="left"/>
      <w:pPr>
        <w:ind w:left="6747" w:hanging="360"/>
      </w:pPr>
      <w:rPr>
        <w:rFonts w:ascii="Wingdings" w:hAnsi="Wingdings" w:hint="default"/>
      </w:rPr>
    </w:lvl>
  </w:abstractNum>
  <w:abstractNum w:abstractNumId="8">
    <w:nsid w:val="7B0B1E0E"/>
    <w:multiLevelType w:val="singleLevel"/>
    <w:tmpl w:val="23FE4680"/>
    <w:lvl w:ilvl="0">
      <w:start w:val="1"/>
      <w:numFmt w:val="bullet"/>
      <w:lvlText w:val=""/>
      <w:lvlJc w:val="left"/>
      <w:pPr>
        <w:tabs>
          <w:tab w:val="num" w:pos="360"/>
        </w:tabs>
        <w:ind w:left="360" w:hanging="360"/>
      </w:pPr>
      <w:rPr>
        <w:rFonts w:ascii="Wingdings" w:hAnsi="Wingdings" w:hint="default"/>
        <w:sz w:val="18"/>
      </w:rPr>
    </w:lvl>
  </w:abstractNum>
  <w:num w:numId="1">
    <w:abstractNumId w:val="4"/>
  </w:num>
  <w:num w:numId="2">
    <w:abstractNumId w:val="1"/>
  </w:num>
  <w:num w:numId="3">
    <w:abstractNumId w:val="5"/>
  </w:num>
  <w:num w:numId="4">
    <w:abstractNumId w:val="6"/>
  </w:num>
  <w:num w:numId="5">
    <w:abstractNumId w:val="8"/>
  </w:num>
  <w:num w:numId="6">
    <w:abstractNumId w:val="0"/>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AC"/>
    <w:rsid w:val="00002FDF"/>
    <w:rsid w:val="000205AB"/>
    <w:rsid w:val="000341CF"/>
    <w:rsid w:val="00055ABD"/>
    <w:rsid w:val="00075093"/>
    <w:rsid w:val="00077F92"/>
    <w:rsid w:val="000846F5"/>
    <w:rsid w:val="000B000F"/>
    <w:rsid w:val="000B23C4"/>
    <w:rsid w:val="00127909"/>
    <w:rsid w:val="00137E12"/>
    <w:rsid w:val="00143814"/>
    <w:rsid w:val="00160457"/>
    <w:rsid w:val="001613AC"/>
    <w:rsid w:val="00167499"/>
    <w:rsid w:val="001721DD"/>
    <w:rsid w:val="001B6F66"/>
    <w:rsid w:val="001C7F69"/>
    <w:rsid w:val="001F28CE"/>
    <w:rsid w:val="001F343B"/>
    <w:rsid w:val="00205BBD"/>
    <w:rsid w:val="002554CE"/>
    <w:rsid w:val="002647D7"/>
    <w:rsid w:val="002B2BDB"/>
    <w:rsid w:val="002C54DD"/>
    <w:rsid w:val="002C67E9"/>
    <w:rsid w:val="002D0686"/>
    <w:rsid w:val="002E13F2"/>
    <w:rsid w:val="0030763E"/>
    <w:rsid w:val="00312947"/>
    <w:rsid w:val="00322C64"/>
    <w:rsid w:val="003410B4"/>
    <w:rsid w:val="00350E32"/>
    <w:rsid w:val="00373AAD"/>
    <w:rsid w:val="00377292"/>
    <w:rsid w:val="003D73BE"/>
    <w:rsid w:val="003E18F3"/>
    <w:rsid w:val="004352D1"/>
    <w:rsid w:val="00446AA4"/>
    <w:rsid w:val="00454A01"/>
    <w:rsid w:val="0047725A"/>
    <w:rsid w:val="00480226"/>
    <w:rsid w:val="00490C79"/>
    <w:rsid w:val="004B7DC4"/>
    <w:rsid w:val="004D6497"/>
    <w:rsid w:val="004E17BB"/>
    <w:rsid w:val="004F3605"/>
    <w:rsid w:val="0051614F"/>
    <w:rsid w:val="005349CE"/>
    <w:rsid w:val="005A2AAE"/>
    <w:rsid w:val="005A4170"/>
    <w:rsid w:val="005B2323"/>
    <w:rsid w:val="00605AFA"/>
    <w:rsid w:val="00646D1D"/>
    <w:rsid w:val="00665801"/>
    <w:rsid w:val="00667D4A"/>
    <w:rsid w:val="006A760B"/>
    <w:rsid w:val="006C376F"/>
    <w:rsid w:val="006C47DB"/>
    <w:rsid w:val="006C7022"/>
    <w:rsid w:val="006D04A6"/>
    <w:rsid w:val="006D7528"/>
    <w:rsid w:val="006F2A0E"/>
    <w:rsid w:val="0071675D"/>
    <w:rsid w:val="00723BBB"/>
    <w:rsid w:val="00746274"/>
    <w:rsid w:val="00746608"/>
    <w:rsid w:val="007524BC"/>
    <w:rsid w:val="00764AE9"/>
    <w:rsid w:val="00794C24"/>
    <w:rsid w:val="007B3D31"/>
    <w:rsid w:val="00801FE1"/>
    <w:rsid w:val="00820624"/>
    <w:rsid w:val="00846385"/>
    <w:rsid w:val="00854A3B"/>
    <w:rsid w:val="008B0964"/>
    <w:rsid w:val="008D1D30"/>
    <w:rsid w:val="008E37C7"/>
    <w:rsid w:val="00960980"/>
    <w:rsid w:val="009755D9"/>
    <w:rsid w:val="009755E7"/>
    <w:rsid w:val="009B063B"/>
    <w:rsid w:val="009C1F2D"/>
    <w:rsid w:val="009D74FF"/>
    <w:rsid w:val="00A14768"/>
    <w:rsid w:val="00A167C6"/>
    <w:rsid w:val="00A24928"/>
    <w:rsid w:val="00A67B94"/>
    <w:rsid w:val="00AA0BA8"/>
    <w:rsid w:val="00AB19B6"/>
    <w:rsid w:val="00AD19F5"/>
    <w:rsid w:val="00AD57D4"/>
    <w:rsid w:val="00AD64E6"/>
    <w:rsid w:val="00B23C23"/>
    <w:rsid w:val="00B8611C"/>
    <w:rsid w:val="00BB78BD"/>
    <w:rsid w:val="00BD124E"/>
    <w:rsid w:val="00BE0984"/>
    <w:rsid w:val="00C31992"/>
    <w:rsid w:val="00C458DA"/>
    <w:rsid w:val="00C62311"/>
    <w:rsid w:val="00C911A9"/>
    <w:rsid w:val="00CB2967"/>
    <w:rsid w:val="00CB3663"/>
    <w:rsid w:val="00CC1319"/>
    <w:rsid w:val="00CC3FEC"/>
    <w:rsid w:val="00CD7E01"/>
    <w:rsid w:val="00CF0603"/>
    <w:rsid w:val="00D1630B"/>
    <w:rsid w:val="00D2510D"/>
    <w:rsid w:val="00D47A68"/>
    <w:rsid w:val="00D5647C"/>
    <w:rsid w:val="00D625BF"/>
    <w:rsid w:val="00DA4D33"/>
    <w:rsid w:val="00DD42F8"/>
    <w:rsid w:val="00DF616A"/>
    <w:rsid w:val="00DF6185"/>
    <w:rsid w:val="00DF6E89"/>
    <w:rsid w:val="00E335D6"/>
    <w:rsid w:val="00E7499A"/>
    <w:rsid w:val="00E764F9"/>
    <w:rsid w:val="00E76F75"/>
    <w:rsid w:val="00E85481"/>
    <w:rsid w:val="00E87270"/>
    <w:rsid w:val="00EE757A"/>
    <w:rsid w:val="00EF3E54"/>
    <w:rsid w:val="00F22689"/>
    <w:rsid w:val="00F954CF"/>
    <w:rsid w:val="00FA19E2"/>
    <w:rsid w:val="00FA2D3B"/>
    <w:rsid w:val="00FA5D7E"/>
    <w:rsid w:val="00FD06F7"/>
    <w:rsid w:val="00FE0BD7"/>
    <w:rsid w:val="00FE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3AC"/>
    <w:rPr>
      <w:rFonts w:ascii="Times New Roman" w:hAnsi="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разредка1"/>
    <w:uiPriority w:val="99"/>
    <w:qFormat/>
    <w:rsid w:val="00FA19E2"/>
    <w:rPr>
      <w:sz w:val="22"/>
      <w:szCs w:val="22"/>
      <w:lang w:val="bg-BG"/>
    </w:rPr>
  </w:style>
  <w:style w:type="paragraph" w:styleId="BalloonText">
    <w:name w:val="Balloon Text"/>
    <w:basedOn w:val="Normal"/>
    <w:link w:val="BalloonTextChar"/>
    <w:uiPriority w:val="99"/>
    <w:semiHidden/>
    <w:unhideWhenUsed/>
    <w:rsid w:val="002554CE"/>
    <w:rPr>
      <w:rFonts w:ascii="Tahoma" w:hAnsi="Tahoma" w:cs="Tahoma"/>
      <w:sz w:val="16"/>
      <w:szCs w:val="16"/>
    </w:rPr>
  </w:style>
  <w:style w:type="character" w:customStyle="1" w:styleId="BalloonTextChar">
    <w:name w:val="Balloon Text Char"/>
    <w:basedOn w:val="DefaultParagraphFont"/>
    <w:link w:val="BalloonText"/>
    <w:uiPriority w:val="99"/>
    <w:semiHidden/>
    <w:rsid w:val="002554CE"/>
    <w:rPr>
      <w:rFonts w:ascii="Tahoma" w:hAnsi="Tahoma" w:cs="Tahoma"/>
      <w:sz w:val="16"/>
      <w:szCs w:val="16"/>
      <w:lang w:val="bg-BG" w:eastAsia="bg-BG"/>
    </w:rPr>
  </w:style>
  <w:style w:type="character" w:customStyle="1" w:styleId="post1">
    <w:name w:val="post1"/>
    <w:basedOn w:val="DefaultParagraphFont"/>
    <w:rsid w:val="00BE0984"/>
  </w:style>
  <w:style w:type="paragraph" w:styleId="ListParagraph">
    <w:name w:val="List Paragraph"/>
    <w:basedOn w:val="Normal"/>
    <w:uiPriority w:val="34"/>
    <w:qFormat/>
    <w:rsid w:val="006D7528"/>
    <w:pPr>
      <w:ind w:left="720"/>
      <w:contextualSpacing/>
    </w:pPr>
  </w:style>
  <w:style w:type="paragraph" w:customStyle="1" w:styleId="Datecreated">
    <w:name w:val="Date created"/>
    <w:basedOn w:val="Normal"/>
    <w:rsid w:val="00794C24"/>
    <w:pPr>
      <w:spacing w:before="60" w:after="60" w:line="260" w:lineRule="atLeast"/>
    </w:pPr>
    <w:rPr>
      <w:noProof/>
      <w:sz w:val="22"/>
      <w:szCs w:val="20"/>
      <w:lang w:val="en-US" w:eastAsia="en-US"/>
    </w:rPr>
  </w:style>
  <w:style w:type="paragraph" w:styleId="BodyTextIndent">
    <w:name w:val="Body Text Indent"/>
    <w:basedOn w:val="Normal"/>
    <w:link w:val="BodyTextIndentChar"/>
    <w:uiPriority w:val="99"/>
    <w:unhideWhenUsed/>
    <w:rsid w:val="00DF6E89"/>
    <w:pPr>
      <w:spacing w:after="120"/>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rsid w:val="00DF6E89"/>
    <w:rPr>
      <w:rFonts w:eastAsia="Calibri"/>
      <w:sz w:val="22"/>
      <w:szCs w:val="22"/>
      <w:lang w:val="bg-BG"/>
    </w:rPr>
  </w:style>
  <w:style w:type="paragraph" w:styleId="BodyText">
    <w:name w:val="Body Text"/>
    <w:basedOn w:val="Normal"/>
    <w:link w:val="BodyTextChar"/>
    <w:uiPriority w:val="99"/>
    <w:semiHidden/>
    <w:unhideWhenUsed/>
    <w:rsid w:val="00DA4D33"/>
    <w:pPr>
      <w:spacing w:after="120"/>
    </w:pPr>
  </w:style>
  <w:style w:type="character" w:customStyle="1" w:styleId="BodyTextChar">
    <w:name w:val="Body Text Char"/>
    <w:basedOn w:val="DefaultParagraphFont"/>
    <w:link w:val="BodyText"/>
    <w:uiPriority w:val="99"/>
    <w:semiHidden/>
    <w:rsid w:val="00DA4D33"/>
    <w:rPr>
      <w:rFonts w:ascii="Times New Roman" w:hAnsi="Times New Roman"/>
      <w:sz w:val="24"/>
      <w:szCs w:val="24"/>
      <w:lang w:val="bg-BG" w:eastAsia="bg-BG"/>
    </w:rPr>
  </w:style>
  <w:style w:type="paragraph" w:styleId="BodyTextIndent2">
    <w:name w:val="Body Text Indent 2"/>
    <w:basedOn w:val="Normal"/>
    <w:link w:val="BodyTextIndent2Char"/>
    <w:uiPriority w:val="99"/>
    <w:semiHidden/>
    <w:unhideWhenUsed/>
    <w:rsid w:val="0030763E"/>
    <w:pPr>
      <w:spacing w:after="120" w:line="480" w:lineRule="auto"/>
      <w:ind w:left="283"/>
    </w:pPr>
  </w:style>
  <w:style w:type="character" w:customStyle="1" w:styleId="BodyTextIndent2Char">
    <w:name w:val="Body Text Indent 2 Char"/>
    <w:basedOn w:val="DefaultParagraphFont"/>
    <w:link w:val="BodyTextIndent2"/>
    <w:uiPriority w:val="99"/>
    <w:semiHidden/>
    <w:rsid w:val="0030763E"/>
    <w:rPr>
      <w:rFonts w:ascii="Times New Roman" w:hAnsi="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3AC"/>
    <w:rPr>
      <w:rFonts w:ascii="Times New Roman" w:hAnsi="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разредка1"/>
    <w:uiPriority w:val="99"/>
    <w:qFormat/>
    <w:rsid w:val="00FA19E2"/>
    <w:rPr>
      <w:sz w:val="22"/>
      <w:szCs w:val="22"/>
      <w:lang w:val="bg-BG"/>
    </w:rPr>
  </w:style>
  <w:style w:type="paragraph" w:styleId="BalloonText">
    <w:name w:val="Balloon Text"/>
    <w:basedOn w:val="Normal"/>
    <w:link w:val="BalloonTextChar"/>
    <w:uiPriority w:val="99"/>
    <w:semiHidden/>
    <w:unhideWhenUsed/>
    <w:rsid w:val="002554CE"/>
    <w:rPr>
      <w:rFonts w:ascii="Tahoma" w:hAnsi="Tahoma" w:cs="Tahoma"/>
      <w:sz w:val="16"/>
      <w:szCs w:val="16"/>
    </w:rPr>
  </w:style>
  <w:style w:type="character" w:customStyle="1" w:styleId="BalloonTextChar">
    <w:name w:val="Balloon Text Char"/>
    <w:basedOn w:val="DefaultParagraphFont"/>
    <w:link w:val="BalloonText"/>
    <w:uiPriority w:val="99"/>
    <w:semiHidden/>
    <w:rsid w:val="002554CE"/>
    <w:rPr>
      <w:rFonts w:ascii="Tahoma" w:hAnsi="Tahoma" w:cs="Tahoma"/>
      <w:sz w:val="16"/>
      <w:szCs w:val="16"/>
      <w:lang w:val="bg-BG" w:eastAsia="bg-BG"/>
    </w:rPr>
  </w:style>
  <w:style w:type="character" w:customStyle="1" w:styleId="post1">
    <w:name w:val="post1"/>
    <w:basedOn w:val="DefaultParagraphFont"/>
    <w:rsid w:val="00BE0984"/>
  </w:style>
  <w:style w:type="paragraph" w:styleId="ListParagraph">
    <w:name w:val="List Paragraph"/>
    <w:basedOn w:val="Normal"/>
    <w:uiPriority w:val="34"/>
    <w:qFormat/>
    <w:rsid w:val="006D7528"/>
    <w:pPr>
      <w:ind w:left="720"/>
      <w:contextualSpacing/>
    </w:pPr>
  </w:style>
  <w:style w:type="paragraph" w:customStyle="1" w:styleId="Datecreated">
    <w:name w:val="Date created"/>
    <w:basedOn w:val="Normal"/>
    <w:rsid w:val="00794C24"/>
    <w:pPr>
      <w:spacing w:before="60" w:after="60" w:line="260" w:lineRule="atLeast"/>
    </w:pPr>
    <w:rPr>
      <w:noProof/>
      <w:sz w:val="22"/>
      <w:szCs w:val="20"/>
      <w:lang w:val="en-US" w:eastAsia="en-US"/>
    </w:rPr>
  </w:style>
  <w:style w:type="paragraph" w:styleId="BodyTextIndent">
    <w:name w:val="Body Text Indent"/>
    <w:basedOn w:val="Normal"/>
    <w:link w:val="BodyTextIndentChar"/>
    <w:uiPriority w:val="99"/>
    <w:unhideWhenUsed/>
    <w:rsid w:val="00DF6E89"/>
    <w:pPr>
      <w:spacing w:after="120"/>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rsid w:val="00DF6E89"/>
    <w:rPr>
      <w:rFonts w:eastAsia="Calibri"/>
      <w:sz w:val="22"/>
      <w:szCs w:val="22"/>
      <w:lang w:val="bg-BG"/>
    </w:rPr>
  </w:style>
  <w:style w:type="paragraph" w:styleId="BodyText">
    <w:name w:val="Body Text"/>
    <w:basedOn w:val="Normal"/>
    <w:link w:val="BodyTextChar"/>
    <w:uiPriority w:val="99"/>
    <w:semiHidden/>
    <w:unhideWhenUsed/>
    <w:rsid w:val="00DA4D33"/>
    <w:pPr>
      <w:spacing w:after="120"/>
    </w:pPr>
  </w:style>
  <w:style w:type="character" w:customStyle="1" w:styleId="BodyTextChar">
    <w:name w:val="Body Text Char"/>
    <w:basedOn w:val="DefaultParagraphFont"/>
    <w:link w:val="BodyText"/>
    <w:uiPriority w:val="99"/>
    <w:semiHidden/>
    <w:rsid w:val="00DA4D33"/>
    <w:rPr>
      <w:rFonts w:ascii="Times New Roman" w:hAnsi="Times New Roman"/>
      <w:sz w:val="24"/>
      <w:szCs w:val="24"/>
      <w:lang w:val="bg-BG" w:eastAsia="bg-BG"/>
    </w:rPr>
  </w:style>
  <w:style w:type="paragraph" w:styleId="BodyTextIndent2">
    <w:name w:val="Body Text Indent 2"/>
    <w:basedOn w:val="Normal"/>
    <w:link w:val="BodyTextIndent2Char"/>
    <w:uiPriority w:val="99"/>
    <w:semiHidden/>
    <w:unhideWhenUsed/>
    <w:rsid w:val="0030763E"/>
    <w:pPr>
      <w:spacing w:after="120" w:line="480" w:lineRule="auto"/>
      <w:ind w:left="283"/>
    </w:pPr>
  </w:style>
  <w:style w:type="character" w:customStyle="1" w:styleId="BodyTextIndent2Char">
    <w:name w:val="Body Text Indent 2 Char"/>
    <w:basedOn w:val="DefaultParagraphFont"/>
    <w:link w:val="BodyTextIndent2"/>
    <w:uiPriority w:val="99"/>
    <w:semiHidden/>
    <w:rsid w:val="0030763E"/>
    <w:rPr>
      <w:rFonts w:ascii="Times New Roman"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0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4059</Words>
  <Characters>23139</Characters>
  <Application>Microsoft Office Word</Application>
  <DocSecurity>0</DocSecurity>
  <Lines>192</Lines>
  <Paragraphs>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schet_katq</dc:creator>
  <cp:keywords/>
  <dc:description/>
  <cp:lastModifiedBy>Maia Hristova</cp:lastModifiedBy>
  <cp:revision>2</cp:revision>
  <cp:lastPrinted>2017-03-31T10:39:00Z</cp:lastPrinted>
  <dcterms:created xsi:type="dcterms:W3CDTF">2017-03-31T11:39:00Z</dcterms:created>
  <dcterms:modified xsi:type="dcterms:W3CDTF">2017-03-31T11:39:00Z</dcterms:modified>
</cp:coreProperties>
</file>